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321" w:rsidP="00333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CPCPDR2021 Locate and clear blockages</w:t>
      </w:r>
      <w:r>
        <w:fldChar w:fldCharType="end"/>
      </w:r>
    </w:p>
    <w:p w:rsidR="00333321" w:rsidP="00333321">
      <w:pPr>
        <w:pStyle w:val="Version"/>
        <w:sectPr w:rsidSect="00EC0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01B4" w:rsidP="00EC01B4">
      <w:pPr>
        <w:pStyle w:val="SuperHeading"/>
      </w:pPr>
      <w:r w:rsidRPr="00EC01B4">
        <w:t>CPCPDR2021 Locate and clear blockages</w:t>
      </w:r>
    </w:p>
    <w:p w:rsidR="00000000" w:rsidRPr="00EC01B4" w:rsidP="00EC01B4">
      <w:pPr>
        <w:pStyle w:val="Heading1"/>
      </w:pPr>
      <w:bookmarkStart w:id="1" w:name="O_1159398"/>
      <w:bookmarkEnd w:id="1"/>
      <w:r w:rsidRPr="00EC01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B4" w:rsidP="00EC01B4">
            <w:pPr>
              <w:pStyle w:val="BodyText"/>
            </w:pPr>
            <w:r w:rsidRPr="00EC01B4">
              <w:t>This version first released with CPC Construction, Plumbing and Services Training Package Release 5.1.</w:t>
            </w:r>
          </w:p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Change to Elements and Performance Criteria 1.2 and 3.1.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B4" w:rsidP="00EC01B4">
            <w:pPr>
              <w:pStyle w:val="BodyText"/>
            </w:pPr>
            <w:r w:rsidRPr="00EC01B4">
              <w:t>This version first released with CPC Construction, Plu</w:t>
            </w:r>
            <w:r w:rsidRPr="00EC01B4">
              <w:t>mbing and Services Training Package Release 5.0.</w:t>
            </w:r>
          </w:p>
          <w:p w:rsidR="00000000" w:rsidRPr="00EC01B4" w:rsidP="00EC01B4">
            <w:pPr>
              <w:pStyle w:val="BodyText"/>
            </w:pPr>
            <w:r w:rsidRPr="00EC01B4">
              <w:t>Supersedes and is equivalent to CPCPDR2021A Locate and clear blockages.  Updated to meet the Standards for Training Packages 2012.</w:t>
            </w:r>
          </w:p>
        </w:tc>
      </w:tr>
    </w:tbl>
    <w:p w:rsidR="00000000" w:rsidRPr="00EC01B4" w:rsidP="00EC01B4">
      <w:pPr>
        <w:pStyle w:val="BodyText"/>
      </w:pPr>
    </w:p>
    <w:p w:rsidR="00000000" w:rsidRPr="00EC01B4" w:rsidP="00EC01B4">
      <w:pPr>
        <w:pStyle w:val="AllowPageBreak"/>
      </w:pPr>
    </w:p>
    <w:p w:rsidR="00000000" w:rsidRPr="00EC01B4" w:rsidP="00EC01B4">
      <w:pPr>
        <w:pStyle w:val="Heading1"/>
      </w:pPr>
      <w:bookmarkStart w:id="2" w:name="O_1159397"/>
      <w:bookmarkEnd w:id="2"/>
      <w:r w:rsidRPr="00EC01B4">
        <w:t>Application</w:t>
      </w:r>
    </w:p>
    <w:p w:rsidR="00000000" w:rsidRPr="00EC01B4" w:rsidP="00333321">
      <w:pPr>
        <w:pStyle w:val="BodyText"/>
      </w:pPr>
      <w:r w:rsidRPr="00EC01B4">
        <w:t>This unit specifies the skills and knowledg</w:t>
      </w:r>
      <w:r w:rsidRPr="00EC01B4">
        <w:t xml:space="preserve">e required to locate and clear blockages in sanitary plumbing and drainage systems, using a range of equipment, including closed-circuit television (CCTV). </w:t>
      </w:r>
    </w:p>
    <w:p w:rsidR="00000000" w:rsidRPr="00EC01B4" w:rsidP="00333321">
      <w:pPr>
        <w:pStyle w:val="BodyText"/>
      </w:pPr>
      <w:r w:rsidRPr="00EC01B4">
        <w:t>In some jurisdictions, this unit of competency may form part of accreditation, licensing, legislati</w:t>
      </w:r>
      <w:r w:rsidRPr="00EC01B4">
        <w:t>ve, regulatory or certification requirements.</w:t>
      </w:r>
    </w:p>
    <w:p w:rsidR="00000000" w:rsidRPr="00EC01B4" w:rsidP="00EC01B4">
      <w:pPr>
        <w:pStyle w:val="Heading1"/>
      </w:pPr>
      <w:bookmarkStart w:id="3" w:name="O_1159396"/>
      <w:bookmarkEnd w:id="3"/>
      <w:r w:rsidRPr="00EC01B4">
        <w:t>Pre-requisite Unit</w:t>
      </w:r>
    </w:p>
    <w:p w:rsidR="00000000" w:rsidRPr="00EC01B4" w:rsidP="00333321">
      <w:pPr>
        <w:pStyle w:val="BodyText"/>
      </w:pPr>
      <w:r w:rsidRPr="00EC01B4">
        <w:t>CPCPCM2043 Carry out WHS requirements</w:t>
      </w:r>
    </w:p>
    <w:p w:rsidR="00000000" w:rsidRPr="00EC01B4" w:rsidP="00EC01B4">
      <w:pPr>
        <w:pStyle w:val="Heading1"/>
      </w:pPr>
      <w:bookmarkStart w:id="4" w:name="O_1159395"/>
      <w:bookmarkEnd w:id="4"/>
      <w:r w:rsidRPr="00EC01B4">
        <w:t>Unit Sector</w:t>
      </w:r>
    </w:p>
    <w:p w:rsidR="00000000" w:rsidRPr="00EC01B4" w:rsidP="00333321">
      <w:pPr>
        <w:pStyle w:val="BodyText"/>
      </w:pPr>
      <w:r w:rsidRPr="00EC01B4">
        <w:t>Plumbing</w:t>
      </w:r>
    </w:p>
    <w:p w:rsidR="00000000" w:rsidRPr="00EC01B4" w:rsidP="00EC01B4">
      <w:pPr>
        <w:pStyle w:val="Heading1"/>
      </w:pPr>
      <w:bookmarkStart w:id="5" w:name="O_1159394"/>
      <w:bookmarkEnd w:id="5"/>
      <w:r w:rsidRPr="00EC01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Performance criteria describe what needs to be done to demonstrate achievement of the element.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Determine location of blockage and clearing requirements.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Identify and apply workplace, work health and safety (WHS) and environmental requirements.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 xml:space="preserve">Select appropriate tools and equipment, including </w:t>
            </w:r>
            <w:r w:rsidRPr="00EC01B4">
              <w:t>personal protective equipment (PPE).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Locate and clear blockage.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Identify pipe section containing blockage using closed-circuit television (CCTV), as appropriate.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Select and use appropriate blockage clearing equipment according to the job requirements and manufacturer’s requirements.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Remove blockage without causing damage to pipework and fittings.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Flush and test system to ensure adequate operation.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Clear the work area an</w:t>
            </w:r>
            <w:r w:rsidRPr="00EC01B4">
              <w:t>d dispose of materials in accordance with state and territory legislation and workplace policies and procedures.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B4" w:rsidP="00EC01B4">
            <w:pPr>
              <w:pStyle w:val="BodyText"/>
            </w:pPr>
            <w:r w:rsidRPr="00EC01B4">
              <w:t>Clean tools and equipment, check for serviceability and report any damage, and store and secure.</w:t>
            </w:r>
          </w:p>
        </w:tc>
      </w:tr>
    </w:tbl>
    <w:p w:rsidR="00000000" w:rsidRPr="00EC01B4" w:rsidP="00EC01B4">
      <w:pPr>
        <w:pStyle w:val="BodyText"/>
      </w:pPr>
    </w:p>
    <w:p w:rsidR="00000000" w:rsidRPr="00EC01B4" w:rsidP="00EC01B4">
      <w:pPr>
        <w:pStyle w:val="AllowPageBreak"/>
      </w:pPr>
    </w:p>
    <w:p w:rsidR="00000000" w:rsidRPr="00EC01B4" w:rsidP="00EC01B4">
      <w:pPr>
        <w:pStyle w:val="Heading1"/>
      </w:pPr>
      <w:bookmarkStart w:id="6" w:name="O_1159393"/>
      <w:bookmarkEnd w:id="6"/>
      <w:r w:rsidRPr="00EC01B4">
        <w:t>Foundation Skills</w:t>
      </w:r>
    </w:p>
    <w:p w:rsidR="00000000" w:rsidRPr="00EC01B4" w:rsidP="00333321">
      <w:pPr>
        <w:pStyle w:val="BodyText"/>
      </w:pPr>
      <w:r w:rsidRPr="00EC01B4">
        <w:t xml:space="preserve">Foundation skills essential to performance are explicit in the performance criteria of this unit of competency. </w:t>
      </w:r>
    </w:p>
    <w:p w:rsidR="00000000" w:rsidRPr="00EC01B4" w:rsidP="00EC01B4">
      <w:pPr>
        <w:pStyle w:val="Heading1"/>
      </w:pPr>
      <w:bookmarkStart w:id="7" w:name="O_1159392"/>
      <w:bookmarkEnd w:id="7"/>
      <w:r w:rsidRPr="00EC01B4">
        <w:t>Unit Mapping Information</w:t>
      </w:r>
    </w:p>
    <w:p w:rsidR="00000000" w:rsidRPr="00EC01B4" w:rsidP="00333321">
      <w:pPr>
        <w:pStyle w:val="BodyText"/>
      </w:pPr>
      <w:r w:rsidRPr="00EC01B4">
        <w:t>Supersedes and is equivalent to CPCPDR2021A Locate and clear blockages.</w:t>
      </w:r>
    </w:p>
    <w:p w:rsidR="00000000" w:rsidRPr="00EC01B4" w:rsidP="00EC01B4">
      <w:pPr>
        <w:pStyle w:val="Heading1"/>
      </w:pPr>
      <w:bookmarkStart w:id="8" w:name="O_1159399"/>
      <w:bookmarkEnd w:id="8"/>
      <w:r w:rsidRPr="00EC01B4">
        <w:t>Links</w:t>
      </w:r>
    </w:p>
    <w:p w:rsidR="00000000" w:rsidRPr="00EC01B4" w:rsidP="00333321">
      <w:pPr>
        <w:pStyle w:val="BodyText"/>
      </w:pPr>
      <w:r w:rsidRPr="00EC01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369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C01B4" w:rsidP="00333321">
      <w:pPr>
        <w:pStyle w:val="BodyText"/>
        <w:sectPr w:rsidSect="00EC01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01B4" w:rsidP="00EC01B4">
      <w:pPr>
        <w:pStyle w:val="SuperHeading"/>
      </w:pPr>
      <w:r w:rsidRPr="00EC01B4">
        <w:t>Assessment Requirements for CPCPDR2021 Loca</w:t>
      </w:r>
      <w:r w:rsidRPr="00EC01B4">
        <w:t>te and clear blockages</w:t>
      </w:r>
    </w:p>
    <w:p w:rsidR="00000000" w:rsidRPr="00EC01B4" w:rsidP="00EC01B4">
      <w:pPr>
        <w:pStyle w:val="Heading1"/>
      </w:pPr>
      <w:bookmarkStart w:id="9" w:name="O_1159390"/>
      <w:bookmarkEnd w:id="9"/>
      <w:r w:rsidRPr="00EC01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B4" w:rsidP="00EC01B4">
            <w:pPr>
              <w:pStyle w:val="BodyText"/>
            </w:pPr>
            <w:r w:rsidRPr="00EC01B4">
              <w:t>This version first released with CPC Construction, Plumbing and Services Training Package Release 5.1.</w:t>
            </w:r>
          </w:p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Change to Elements and Performance Criteria 1.2 and 3.1.</w:t>
            </w:r>
          </w:p>
        </w:tc>
      </w:tr>
      <w:tr w:rsidTr="00EC0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1B4">
            <w:pPr>
              <w:pStyle w:val="BodyText"/>
              <w:rPr>
                <w:lang w:val="en-NZ"/>
              </w:rPr>
            </w:pPr>
            <w:r w:rsidRPr="00EC01B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1B4" w:rsidP="00EC01B4">
            <w:pPr>
              <w:pStyle w:val="BodyText"/>
            </w:pPr>
            <w:r w:rsidRPr="00EC01B4">
              <w:t xml:space="preserve">This version </w:t>
            </w:r>
            <w:r w:rsidRPr="00EC01B4">
              <w:t>first released with CPC Construction, Plumbing and Services Training Package Release 5.0.</w:t>
            </w:r>
          </w:p>
          <w:p w:rsidR="00000000" w:rsidRPr="00EC01B4" w:rsidP="00EC01B4">
            <w:pPr>
              <w:pStyle w:val="BodyText"/>
            </w:pPr>
            <w:r w:rsidRPr="00EC01B4">
              <w:t>Supersedes and is equivalent to CPCPDR2021A Locate and clear blockages.  Updated to meet the Standards for Training Packages 2012.</w:t>
            </w:r>
          </w:p>
        </w:tc>
      </w:tr>
    </w:tbl>
    <w:p w:rsidR="00000000" w:rsidRPr="00EC01B4" w:rsidP="00EC01B4">
      <w:pPr>
        <w:pStyle w:val="BodyText"/>
      </w:pPr>
    </w:p>
    <w:p w:rsidR="00000000" w:rsidRPr="00EC01B4" w:rsidP="00EC01B4">
      <w:pPr>
        <w:pStyle w:val="AllowPageBreak"/>
      </w:pPr>
    </w:p>
    <w:p w:rsidR="00000000" w:rsidRPr="00EC01B4" w:rsidP="00EC01B4">
      <w:pPr>
        <w:pStyle w:val="Heading1"/>
      </w:pPr>
      <w:bookmarkStart w:id="10" w:name="O_1159389"/>
      <w:bookmarkEnd w:id="10"/>
      <w:r w:rsidRPr="00EC01B4">
        <w:t>Performanc</w:t>
      </w:r>
      <w:r w:rsidRPr="00EC01B4">
        <w:t>e Evidence</w:t>
      </w:r>
    </w:p>
    <w:p w:rsidR="00000000" w:rsidRPr="00EC01B4" w:rsidP="00333321">
      <w:pPr>
        <w:pStyle w:val="BodyText"/>
      </w:pPr>
      <w:r w:rsidRPr="00EC01B4">
        <w:t>To demonstrate competency, a candidate must meet the performance criteria for this unit by:</w:t>
      </w:r>
    </w:p>
    <w:p w:rsidR="00000000" w:rsidRPr="00EC01B4" w:rsidP="00EC01B4">
      <w:pPr>
        <w:pStyle w:val="ListBullet"/>
      </w:pPr>
      <w:r w:rsidRPr="00EC01B4">
        <w:t>using a closed-circuit television (CCTV) camera to locate the cause of the blockage in drainage pipework</w:t>
      </w:r>
    </w:p>
    <w:p w:rsidR="00000000" w:rsidRPr="00EC01B4" w:rsidP="00EC01B4">
      <w:pPr>
        <w:pStyle w:val="ListBullet"/>
      </w:pPr>
      <w:r w:rsidRPr="00EC01B4">
        <w:t xml:space="preserve">using a mechanical method to clear blockage in </w:t>
      </w:r>
      <w:r w:rsidRPr="00EC01B4">
        <w:t>drainage pipework.</w:t>
      </w:r>
    </w:p>
    <w:p w:rsidR="00000000" w:rsidRPr="00EC01B4" w:rsidP="00EC01B4">
      <w:pPr>
        <w:pStyle w:val="AllowPageBreak"/>
      </w:pPr>
    </w:p>
    <w:p w:rsidR="00000000" w:rsidRPr="00EC01B4" w:rsidP="00EC01B4">
      <w:pPr>
        <w:pStyle w:val="Heading1"/>
      </w:pPr>
      <w:bookmarkStart w:id="11" w:name="O_1159388"/>
      <w:bookmarkEnd w:id="11"/>
      <w:r w:rsidRPr="00EC01B4">
        <w:t>Knowledge Evidence</w:t>
      </w:r>
    </w:p>
    <w:p w:rsidR="00000000" w:rsidRPr="00EC01B4" w:rsidP="00333321">
      <w:pPr>
        <w:pStyle w:val="BodyText"/>
      </w:pPr>
      <w:r w:rsidRPr="00EC01B4">
        <w:t>To be competent in this unit, a candidate must demonstrate knowledge of:</w:t>
      </w:r>
    </w:p>
    <w:p w:rsidR="00000000" w:rsidRPr="00EC01B4" w:rsidP="00EC01B4">
      <w:pPr>
        <w:pStyle w:val="ListBullet"/>
      </w:pPr>
      <w:r w:rsidRPr="00EC01B4">
        <w:t>characteristics of different pipes and fittings.</w:t>
      </w:r>
    </w:p>
    <w:p w:rsidR="00000000" w:rsidRPr="00EC01B4" w:rsidP="00EC01B4">
      <w:pPr>
        <w:pStyle w:val="ListBullet"/>
      </w:pPr>
      <w:r w:rsidRPr="00EC01B4">
        <w:t>different types of tools and equipment, their application and method of oper</w:t>
      </w:r>
      <w:r w:rsidRPr="00EC01B4">
        <w:t>ation:</w:t>
      </w:r>
    </w:p>
    <w:p w:rsidR="00000000" w:rsidRPr="00EC01B4" w:rsidP="00EC01B4">
      <w:pPr>
        <w:pStyle w:val="ListBullet2"/>
      </w:pPr>
      <w:r w:rsidRPr="00EC01B4">
        <w:t>manually operated drain cleaning, including plungers and rods</w:t>
      </w:r>
    </w:p>
    <w:p w:rsidR="00000000" w:rsidRPr="00EC01B4" w:rsidP="00EC01B4">
      <w:pPr>
        <w:pStyle w:val="ListBullet2"/>
      </w:pPr>
      <w:r w:rsidRPr="00EC01B4">
        <w:t>mechanically operated drain clearing machines and attachments</w:t>
      </w:r>
    </w:p>
    <w:p w:rsidR="00000000" w:rsidRPr="00EC01B4" w:rsidP="00EC01B4">
      <w:pPr>
        <w:pStyle w:val="ListBullet2"/>
      </w:pPr>
      <w:r w:rsidRPr="00EC01B4">
        <w:t>CCTV</w:t>
      </w:r>
    </w:p>
    <w:p w:rsidR="00000000" w:rsidRPr="00EC01B4" w:rsidP="00EC01B4">
      <w:pPr>
        <w:pStyle w:val="ListBullet2"/>
      </w:pPr>
      <w:r w:rsidRPr="00EC01B4">
        <w:t>pipe locating equipment</w:t>
      </w:r>
    </w:p>
    <w:p w:rsidR="00000000" w:rsidRPr="00EC01B4" w:rsidP="00EC01B4">
      <w:pPr>
        <w:pStyle w:val="ListBullet2"/>
      </w:pPr>
      <w:r w:rsidRPr="00EC01B4">
        <w:t>chemical applications for cleaning</w:t>
      </w:r>
    </w:p>
    <w:p w:rsidR="00000000" w:rsidRPr="00EC01B4" w:rsidP="00EC01B4">
      <w:pPr>
        <w:pStyle w:val="ListBullet"/>
      </w:pPr>
      <w:r w:rsidRPr="00EC01B4">
        <w:t>processes for clearing blockages</w:t>
      </w:r>
    </w:p>
    <w:p w:rsidR="00000000" w:rsidRPr="00EC01B4" w:rsidP="00EC01B4">
      <w:pPr>
        <w:pStyle w:val="ListBullet"/>
      </w:pPr>
      <w:r w:rsidRPr="00EC01B4">
        <w:t xml:space="preserve">how to access relevant drainage layout information for the job </w:t>
      </w:r>
    </w:p>
    <w:p w:rsidR="00000000" w:rsidRPr="00EC01B4" w:rsidP="00EC01B4">
      <w:pPr>
        <w:pStyle w:val="ListBullet"/>
      </w:pPr>
      <w:r w:rsidRPr="00EC01B4">
        <w:t>work health and safety (WHS) requirements for locating and clearing blockages.</w:t>
      </w:r>
    </w:p>
    <w:p w:rsidR="00000000" w:rsidRPr="00EC01B4" w:rsidP="00EC01B4">
      <w:pPr>
        <w:pStyle w:val="AllowPageBreak"/>
      </w:pPr>
    </w:p>
    <w:p w:rsidR="00000000" w:rsidRPr="00EC01B4" w:rsidP="00EC01B4">
      <w:pPr>
        <w:pStyle w:val="Heading1"/>
      </w:pPr>
      <w:bookmarkStart w:id="12" w:name="O_1159387"/>
      <w:bookmarkEnd w:id="12"/>
      <w:r w:rsidRPr="00EC01B4">
        <w:t>Assessment Conditions</w:t>
      </w:r>
    </w:p>
    <w:p w:rsidR="00000000" w:rsidRPr="00EC01B4" w:rsidP="00333321">
      <w:pPr>
        <w:pStyle w:val="BodyText"/>
      </w:pPr>
      <w:r w:rsidRPr="00EC01B4">
        <w:t>Assessors must satisfy the requirements for assessors listed in the Stan</w:t>
      </w:r>
      <w:r w:rsidRPr="00EC01B4">
        <w:t xml:space="preserve">dards for Registered Training Organisations. </w:t>
      </w:r>
    </w:p>
    <w:p w:rsidR="00000000" w:rsidRPr="00EC01B4" w:rsidP="00333321">
      <w:pPr>
        <w:pStyle w:val="BodyText"/>
      </w:pPr>
      <w:r w:rsidRPr="00EC01B4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C01B4" w:rsidP="00EC01B4">
      <w:pPr>
        <w:pStyle w:val="Heading1"/>
      </w:pPr>
      <w:bookmarkStart w:id="13" w:name="O_1159400"/>
      <w:bookmarkEnd w:id="13"/>
      <w:r w:rsidRPr="00EC01B4">
        <w:t>Links</w:t>
      </w:r>
    </w:p>
    <w:p w:rsidR="00000000" w:rsidRPr="00EC01B4" w:rsidP="00333321">
      <w:pPr>
        <w:pStyle w:val="BodyText"/>
      </w:pPr>
      <w:r w:rsidRPr="00EC01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369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C01B4" w:rsidP="00EC01B4"/>
    <w:sectPr w:rsidSect="00EC01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B4" w:rsidRPr="00333321" w:rsidP="00333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21" w:rsidP="00EC0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321" w:rsidP="00EC0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3321" w:rsidP="00EC01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B4" w:rsidP="00EC0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321">
      <w:t>Approved</w:t>
    </w:r>
    <w:r w:rsidR="003333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3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321">
      <w:rPr>
        <w:noProof/>
      </w:rPr>
      <w:t>4</w:t>
    </w:r>
    <w:r>
      <w:rPr>
        <w:noProof/>
      </w:rPr>
      <w:fldChar w:fldCharType="end"/>
    </w:r>
  </w:p>
  <w:p w:rsidR="00EC01B4" w:rsidP="00EC0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3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321">
      <w:t>BuildSkills Australia</w:t>
    </w:r>
    <w:r w:rsidR="00333321">
      <w:fldChar w:fldCharType="end"/>
    </w:r>
  </w:p>
  <w:p w:rsidR="00EC01B4" w:rsidP="00EC0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1B4" w:rsidRPr="00333321" w:rsidP="00333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21" w:rsidRPr="002D2AF8" w:rsidP="00EC0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CPCPDR2021 Locate and clear blockages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3321" w:rsidP="00EC01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B4" w:rsidRPr="002D2AF8" w:rsidP="00EC0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321">
      <w:t>CPCPDR2021 Locate and clear blockages</w:t>
    </w:r>
    <w:r w:rsidR="003333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321">
      <w:rPr>
        <w:noProof/>
      </w:rPr>
      <w:t>1 March 2025</w:t>
    </w:r>
    <w:r>
      <w:fldChar w:fldCharType="end"/>
    </w:r>
  </w:p>
  <w:p w:rsidR="00EC01B4" w:rsidP="00EC0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5A5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5ED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083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1B4"/>
  </w:style>
  <w:style w:type="character" w:customStyle="1" w:styleId="Heading1Char">
    <w:name w:val="Heading 1 Char"/>
    <w:basedOn w:val="DefaultParagraphFont"/>
    <w:link w:val="Heading1"/>
    <w:rsid w:val="00EC0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1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1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1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1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1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1B4"/>
    <w:rPr>
      <w:b/>
      <w:spacing w:val="0"/>
    </w:rPr>
  </w:style>
  <w:style w:type="paragraph" w:customStyle="1" w:styleId="SuperTitle">
    <w:name w:val="SuperTitle"/>
    <w:basedOn w:val="Title"/>
    <w:rsid w:val="00EC0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1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1B4"/>
    <w:rPr>
      <w:i/>
    </w:rPr>
  </w:style>
  <w:style w:type="paragraph" w:styleId="Caption">
    <w:name w:val="caption"/>
    <w:basedOn w:val="BodyText"/>
    <w:next w:val="Normal"/>
    <w:qFormat/>
    <w:rsid w:val="00EC0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1B4"/>
  </w:style>
  <w:style w:type="paragraph" w:styleId="TableofFigures">
    <w:name w:val="table of figures"/>
    <w:basedOn w:val="Normal"/>
    <w:next w:val="Normal"/>
    <w:semiHidden/>
    <w:rsid w:val="00EC0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1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1B4"/>
    <w:rPr>
      <w:rFonts w:ascii="Wingdings" w:hAnsi="Wingdings"/>
    </w:rPr>
  </w:style>
  <w:style w:type="paragraph" w:customStyle="1" w:styleId="TableHeading">
    <w:name w:val="Table Heading"/>
    <w:basedOn w:val="HeadingBase"/>
    <w:rsid w:val="00EC0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1B4"/>
    <w:rPr>
      <w:color w:val="0033CC"/>
      <w:u w:val="none"/>
    </w:rPr>
  </w:style>
  <w:style w:type="paragraph" w:customStyle="1" w:styleId="BodyTextRight">
    <w:name w:val="Body Text Right"/>
    <w:basedOn w:val="BodyText"/>
    <w:rsid w:val="00EC0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1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1B4"/>
    <w:rPr>
      <w:sz w:val="32"/>
    </w:rPr>
  </w:style>
  <w:style w:type="paragraph" w:customStyle="1" w:styleId="HeadingProcedure">
    <w:name w:val="Heading Procedure"/>
    <w:basedOn w:val="HeadingBase"/>
    <w:next w:val="Normal"/>
    <w:rsid w:val="00EC0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1B4"/>
    <w:pPr>
      <w:spacing w:before="60" w:after="60"/>
    </w:pPr>
  </w:style>
  <w:style w:type="paragraph" w:styleId="ListContinue">
    <w:name w:val="List Continue"/>
    <w:basedOn w:val="List"/>
    <w:rsid w:val="00EC01B4"/>
    <w:pPr>
      <w:ind w:firstLine="0"/>
    </w:pPr>
  </w:style>
  <w:style w:type="paragraph" w:customStyle="1" w:styleId="ListNote">
    <w:name w:val="List Note"/>
    <w:basedOn w:val="List"/>
    <w:rsid w:val="00EC0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1B4"/>
    <w:rPr>
      <w:rFonts w:ascii="Courier New" w:hAnsi="Courier New"/>
    </w:rPr>
  </w:style>
  <w:style w:type="paragraph" w:customStyle="1" w:styleId="NoteBullet">
    <w:name w:val="Note Bullet"/>
    <w:basedOn w:val="Note"/>
    <w:rsid w:val="00EC0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1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1B4"/>
    <w:rPr>
      <w:b/>
      <w:smallCaps/>
    </w:rPr>
  </w:style>
  <w:style w:type="paragraph" w:customStyle="1" w:styleId="TableListNumber">
    <w:name w:val="Table List Number"/>
    <w:basedOn w:val="ListNumber"/>
    <w:rsid w:val="00EC0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1B4"/>
    <w:pPr>
      <w:numPr>
        <w:numId w:val="9"/>
      </w:numPr>
    </w:pPr>
  </w:style>
  <w:style w:type="paragraph" w:customStyle="1" w:styleId="ListAlpha2">
    <w:name w:val="List Alpha 2"/>
    <w:basedOn w:val="List2"/>
    <w:rsid w:val="00EC01B4"/>
    <w:pPr>
      <w:numPr>
        <w:numId w:val="8"/>
      </w:numPr>
    </w:pPr>
  </w:style>
  <w:style w:type="paragraph" w:styleId="List2">
    <w:name w:val="List 2"/>
    <w:basedOn w:val="BodyText"/>
    <w:rsid w:val="00EC0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1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1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1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1B4"/>
    <w:pPr>
      <w:numPr>
        <w:numId w:val="4"/>
      </w:numPr>
    </w:pPr>
  </w:style>
  <w:style w:type="paragraph" w:styleId="ListContinue2">
    <w:name w:val="List Continue 2"/>
    <w:basedOn w:val="List2"/>
    <w:rsid w:val="00EC01B4"/>
    <w:pPr>
      <w:ind w:firstLine="0"/>
    </w:pPr>
  </w:style>
  <w:style w:type="paragraph" w:styleId="ListContinue3">
    <w:name w:val="List Continue 3"/>
    <w:basedOn w:val="List3"/>
    <w:rsid w:val="00EC01B4"/>
    <w:pPr>
      <w:ind w:left="1021" w:firstLine="0"/>
    </w:pPr>
  </w:style>
  <w:style w:type="paragraph" w:styleId="ListContinue4">
    <w:name w:val="List Continue 4"/>
    <w:basedOn w:val="List4"/>
    <w:rsid w:val="00EC01B4"/>
    <w:pPr>
      <w:ind w:firstLine="0"/>
    </w:pPr>
  </w:style>
  <w:style w:type="paragraph" w:styleId="ListContinue5">
    <w:name w:val="List Continue 5"/>
    <w:basedOn w:val="List5"/>
    <w:rsid w:val="00EC01B4"/>
    <w:pPr>
      <w:ind w:firstLine="0"/>
    </w:pPr>
  </w:style>
  <w:style w:type="paragraph" w:styleId="ListNumber3">
    <w:name w:val="List Number 3"/>
    <w:basedOn w:val="List3"/>
    <w:rsid w:val="00EC01B4"/>
    <w:pPr>
      <w:numPr>
        <w:numId w:val="5"/>
      </w:numPr>
    </w:pPr>
  </w:style>
  <w:style w:type="paragraph" w:styleId="ListNumber4">
    <w:name w:val="List Number 4"/>
    <w:basedOn w:val="List4"/>
    <w:rsid w:val="00EC01B4"/>
    <w:pPr>
      <w:numPr>
        <w:numId w:val="6"/>
      </w:numPr>
    </w:pPr>
  </w:style>
  <w:style w:type="paragraph" w:styleId="ListNumber5">
    <w:name w:val="List Number 5"/>
    <w:basedOn w:val="List5"/>
    <w:rsid w:val="00EC01B4"/>
    <w:pPr>
      <w:numPr>
        <w:numId w:val="7"/>
      </w:numPr>
    </w:pPr>
  </w:style>
  <w:style w:type="paragraph" w:styleId="BlockText">
    <w:name w:val="Block Text"/>
    <w:basedOn w:val="Normal"/>
    <w:rsid w:val="00EC0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1B4"/>
    <w:rPr>
      <w:sz w:val="16"/>
      <w:vertAlign w:val="superscript"/>
    </w:rPr>
  </w:style>
  <w:style w:type="character" w:customStyle="1" w:styleId="Symbols">
    <w:name w:val="Symbols"/>
    <w:basedOn w:val="DefaultParagraphFont"/>
    <w:rsid w:val="00EC01B4"/>
    <w:rPr>
      <w:rFonts w:ascii="Symbol" w:hAnsi="Symbol"/>
    </w:rPr>
  </w:style>
  <w:style w:type="character" w:customStyle="1" w:styleId="MenuOptions">
    <w:name w:val="Menu Options"/>
    <w:basedOn w:val="DefaultParagraphFont"/>
    <w:rsid w:val="00EC0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1B4"/>
    <w:rPr>
      <w:b/>
    </w:rPr>
  </w:style>
  <w:style w:type="character" w:customStyle="1" w:styleId="Underlined">
    <w:name w:val="Underlined"/>
    <w:basedOn w:val="DefaultParagraphFont"/>
    <w:rsid w:val="00EC01B4"/>
    <w:rPr>
      <w:u w:val="single"/>
    </w:rPr>
  </w:style>
  <w:style w:type="paragraph" w:customStyle="1" w:styleId="TableBodyTextRight">
    <w:name w:val="Table Body Text Right"/>
    <w:basedOn w:val="TableBodyText"/>
    <w:rsid w:val="00EC0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1B4"/>
    <w:rPr>
      <w:sz w:val="18"/>
    </w:rPr>
  </w:style>
  <w:style w:type="paragraph" w:customStyle="1" w:styleId="BodySmallRight">
    <w:name w:val="Body Small Right"/>
    <w:basedOn w:val="BodyTextRight"/>
    <w:rsid w:val="00EC01B4"/>
    <w:rPr>
      <w:sz w:val="18"/>
      <w:szCs w:val="18"/>
    </w:rPr>
  </w:style>
  <w:style w:type="paragraph" w:customStyle="1" w:styleId="MarginEdition">
    <w:name w:val="Margin Edition"/>
    <w:basedOn w:val="MarginNote"/>
    <w:rsid w:val="00EC0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1B4"/>
    <w:rPr>
      <w:sz w:val="2"/>
      <w:szCs w:val="2"/>
    </w:rPr>
  </w:style>
  <w:style w:type="character" w:customStyle="1" w:styleId="Small">
    <w:name w:val="Small"/>
    <w:basedOn w:val="DefaultParagraphFont"/>
    <w:rsid w:val="00EC01B4"/>
    <w:rPr>
      <w:sz w:val="16"/>
    </w:rPr>
  </w:style>
  <w:style w:type="paragraph" w:customStyle="1" w:styleId="WideTable">
    <w:name w:val="Wide Table"/>
    <w:basedOn w:val="Normal"/>
    <w:rsid w:val="00EC0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1B4"/>
  </w:style>
  <w:style w:type="paragraph" w:styleId="Quote">
    <w:name w:val="Quote"/>
    <w:basedOn w:val="Heading1"/>
    <w:link w:val="QuoteChar"/>
    <w:qFormat/>
    <w:rsid w:val="00EC0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1B4"/>
    <w:pPr>
      <w:pageBreakBefore/>
    </w:pPr>
  </w:style>
  <w:style w:type="paragraph" w:customStyle="1" w:styleId="Border">
    <w:name w:val="Border"/>
    <w:basedOn w:val="Normal"/>
    <w:qFormat/>
    <w:rsid w:val="00EC0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1B4"/>
    <w:rPr>
      <w:u w:val="single"/>
    </w:rPr>
  </w:style>
  <w:style w:type="character" w:customStyle="1" w:styleId="BoldandItalics">
    <w:name w:val="Bold and Italics"/>
    <w:qFormat/>
    <w:rsid w:val="00EC01B4"/>
    <w:rPr>
      <w:b/>
      <w:i/>
      <w:u w:val="none"/>
    </w:rPr>
  </w:style>
  <w:style w:type="paragraph" w:styleId="BalloonText">
    <w:name w:val="Balloon Text"/>
    <w:basedOn w:val="Normal"/>
    <w:link w:val="BalloonTextChar"/>
    <w:rsid w:val="00EC0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1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1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1B4"/>
    <w:pPr>
      <w:spacing w:before="0" w:after="0"/>
    </w:pPr>
  </w:style>
  <w:style w:type="paragraph" w:customStyle="1" w:styleId="BodyTextBold">
    <w:name w:val="Body Text Bold"/>
    <w:basedOn w:val="BodyText"/>
    <w:qFormat/>
    <w:rsid w:val="00EC01B4"/>
    <w:rPr>
      <w:b/>
    </w:rPr>
  </w:style>
  <w:style w:type="character" w:styleId="Hyperlink">
    <w:name w:val="Hyperlink"/>
    <w:basedOn w:val="DefaultParagraphFont"/>
    <w:uiPriority w:val="99"/>
    <w:unhideWhenUsed/>
    <w:rsid w:val="00333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4019</Characters>
  <Application>Microsoft Office Word</Application>
  <DocSecurity>0</DocSecurity>
  <Lines>154</Lines>
  <Paragraphs>96</Paragraphs>
  <ScaleCrop>false</ScaleCrop>
  <Company>Author-it Software Corporation Ltd.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CPCPDR2021 Locate and clear blockages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