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4DB" w:rsidP="00CF64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CPCPCM5013 Design complex (non-solar) heated water systems</w:t>
      </w:r>
      <w:r>
        <w:fldChar w:fldCharType="end"/>
      </w:r>
    </w:p>
    <w:p w:rsidR="00CF64DB" w:rsidP="00CF64DB">
      <w:pPr>
        <w:pStyle w:val="Version"/>
        <w:sectPr w:rsidSect="000707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07F3" w:rsidP="000707F3">
      <w:pPr>
        <w:pStyle w:val="SuperHeading"/>
      </w:pPr>
      <w:r w:rsidRPr="000707F3">
        <w:t>CPCPCM5013 Design complex (non-solar) heated water systems</w:t>
      </w:r>
    </w:p>
    <w:p w:rsidR="00000000" w:rsidRPr="000707F3" w:rsidP="000707F3">
      <w:pPr>
        <w:pStyle w:val="Heading1"/>
      </w:pPr>
      <w:bookmarkStart w:id="1" w:name="O_1159366"/>
      <w:bookmarkEnd w:id="1"/>
      <w:r w:rsidRPr="000707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F3" w:rsidP="000707F3">
            <w:pPr>
              <w:pStyle w:val="BodyText"/>
            </w:pPr>
            <w:r w:rsidRPr="000707F3">
              <w:t>This version first released with CPC Construction, Plumbing and Services Training Package Release 5.1.</w:t>
            </w:r>
          </w:p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Changes to Elements and Performance Criteria 1.8.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F3" w:rsidP="000707F3">
            <w:pPr>
              <w:pStyle w:val="BodyText"/>
            </w:pPr>
            <w:r w:rsidRPr="000707F3">
              <w:t>This version first released with CPC Constr</w:t>
            </w:r>
            <w:r w:rsidRPr="000707F3">
              <w:t>uction, Plumbing and Services Training Package Release 5.0.</w:t>
            </w:r>
          </w:p>
          <w:p w:rsidR="00000000" w:rsidRPr="000707F3" w:rsidP="000707F3">
            <w:pPr>
              <w:pStyle w:val="BodyText"/>
            </w:pPr>
            <w:r w:rsidRPr="000707F3">
              <w:t>Supersedes and is equivalent to CPCPCM5013A Design complex (non-solar) heated water systems.  Updated to meet the Standards for Training Packages 2012.</w:t>
            </w:r>
          </w:p>
        </w:tc>
      </w:tr>
    </w:tbl>
    <w:p w:rsidR="00000000" w:rsidRPr="000707F3" w:rsidP="000707F3">
      <w:pPr>
        <w:pStyle w:val="BodyText"/>
      </w:pPr>
    </w:p>
    <w:p w:rsidR="00000000" w:rsidRPr="000707F3" w:rsidP="000707F3">
      <w:pPr>
        <w:pStyle w:val="AllowPageBreak"/>
      </w:pPr>
    </w:p>
    <w:p w:rsidR="00000000" w:rsidRPr="000707F3" w:rsidP="000707F3">
      <w:pPr>
        <w:pStyle w:val="Heading1"/>
      </w:pPr>
      <w:bookmarkStart w:id="2" w:name="O_1159365"/>
      <w:bookmarkEnd w:id="2"/>
      <w:r w:rsidRPr="000707F3">
        <w:t>Application</w:t>
      </w:r>
    </w:p>
    <w:p w:rsidR="00000000" w:rsidRPr="000707F3" w:rsidP="00CF64DB">
      <w:pPr>
        <w:pStyle w:val="BodyText"/>
      </w:pPr>
      <w:r w:rsidRPr="000707F3">
        <w:t>This unit s</w:t>
      </w:r>
      <w:r w:rsidRPr="000707F3">
        <w:t>pecifies the skills and knowledge required to design complex (non-solar) heated water supply and distribution systems for buildings with 29 floors, inclusive of basement and fixtures on each level for residential, commercial and industrial applications. Th</w:t>
      </w:r>
      <w:r w:rsidRPr="000707F3">
        <w:t>e unit includes circulating systems, fuel and energy loads and system selection.</w:t>
      </w:r>
    </w:p>
    <w:p w:rsidR="00000000" w:rsidRPr="000707F3" w:rsidP="00CF64DB">
      <w:pPr>
        <w:pStyle w:val="BodyText"/>
      </w:pPr>
      <w:r w:rsidRPr="000707F3">
        <w:t>The role may involve interaction with architects, builders, suppliers, clients and relevant planning authorities and requires sound understanding of applicable legislation, st</w:t>
      </w:r>
      <w:r w:rsidRPr="000707F3">
        <w:t>andards and codes.</w:t>
      </w:r>
    </w:p>
    <w:p w:rsidR="00000000" w:rsidRPr="000707F3" w:rsidP="00CF64DB">
      <w:pPr>
        <w:pStyle w:val="BodyText"/>
      </w:pPr>
      <w:r w:rsidRPr="000707F3">
        <w:t>This unit’s requirements are typically carried out by experienced tradespeople such as hydraulic design consultants or persons in a supervisory capacity in relation to plumbing services.</w:t>
      </w:r>
    </w:p>
    <w:p w:rsidR="00000000" w:rsidRPr="000707F3" w:rsidP="00CF64DB">
      <w:pPr>
        <w:pStyle w:val="BodyText"/>
      </w:pPr>
      <w:r w:rsidRPr="000707F3">
        <w:t>In some jurisdictions, this unit of competency may</w:t>
      </w:r>
      <w:r w:rsidRPr="000707F3">
        <w:t xml:space="preserve"> form part of accreditation, licensing, legislative, regulatory or certification requirements. </w:t>
      </w:r>
    </w:p>
    <w:p w:rsidR="00000000" w:rsidRPr="000707F3" w:rsidP="000707F3">
      <w:pPr>
        <w:pStyle w:val="Heading1"/>
      </w:pPr>
      <w:bookmarkStart w:id="3" w:name="O_1159364"/>
      <w:bookmarkEnd w:id="3"/>
      <w:r w:rsidRPr="000707F3">
        <w:t>Pre-requisite Unit</w:t>
      </w:r>
    </w:p>
    <w:p w:rsidR="00000000" w:rsidRPr="000707F3" w:rsidP="00CF64DB">
      <w:pPr>
        <w:pStyle w:val="BodyText"/>
      </w:pPr>
      <w:r w:rsidRPr="000707F3">
        <w:t>Nil.</w:t>
      </w:r>
    </w:p>
    <w:p w:rsidR="00000000" w:rsidRPr="000707F3" w:rsidP="000707F3">
      <w:pPr>
        <w:pStyle w:val="Heading1"/>
      </w:pPr>
      <w:bookmarkStart w:id="4" w:name="O_1159363"/>
      <w:bookmarkEnd w:id="4"/>
      <w:r w:rsidRPr="000707F3">
        <w:t>Unit Sector</w:t>
      </w:r>
    </w:p>
    <w:p w:rsidR="00000000" w:rsidRPr="000707F3" w:rsidP="00CF64DB">
      <w:pPr>
        <w:pStyle w:val="BodyText"/>
      </w:pPr>
      <w:r w:rsidRPr="000707F3">
        <w:t>Plumbing</w:t>
      </w:r>
    </w:p>
    <w:p w:rsidR="00000000" w:rsidRPr="000707F3" w:rsidP="000707F3">
      <w:pPr>
        <w:pStyle w:val="Heading1"/>
      </w:pPr>
      <w:bookmarkStart w:id="5" w:name="O_1159362"/>
      <w:bookmarkEnd w:id="5"/>
      <w:r w:rsidRPr="000707F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 xml:space="preserve">Elements describe the </w:t>
            </w:r>
            <w:r w:rsidRPr="000707F3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 xml:space="preserve">Performance criteria describe what needs to be done to </w:t>
            </w:r>
            <w:r w:rsidRPr="000707F3">
              <w:t>demonstrate achievement of the element.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Evaluate design 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Establish scope of work for heated water supply and distribution systems from rele</w:t>
            </w:r>
            <w:r w:rsidRPr="000707F3">
              <w:t>vant Australian Standards, codes, plans, specifications and client brief.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 xml:space="preserve">Analyse and apply statutory and regulatory requirements for the design of complex (non-solar) heated water supply and distribution systems. 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Apply sustainability principles and concepts as part of the design process.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Establish performance requirements considering the safety of system users and building occupants, including the control of Legionella bacteria.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Conduct research, including a desktop study to outline design parameters.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Interpret manufacturer requirements and trade and technical manuals for the design of heated water systems.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Conduct a cost-benefit analysis to compare a range of materi</w:t>
            </w:r>
            <w:r w:rsidRPr="000707F3">
              <w:t>als and system designs.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 xml:space="preserve">Plan layout of pipework systems and type and location of fittings and valves. 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Detail thermostatic mixing, tempering and control valves for a range of applications using appropriate symbols.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 xml:space="preserve">Plan and detail circulating heated water supply systems. 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Plan and detail warm water systems, including disinfection and biocontrol measures.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Conduct calculations to determine water heating sizing and detail methods for the control of expansion.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Calculate pipe sizes and design pipe supports for a ra</w:t>
            </w:r>
            <w:r w:rsidRPr="000707F3">
              <w:t>nge of applications.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 xml:space="preserve">Detail manifolding heated water units for a range of water heaters and specify safe trays and overflows. 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 xml:space="preserve">Specify approved materials and jointing methods and insulation materials and installation requirements for a </w:t>
            </w:r>
            <w:r w:rsidRPr="000707F3">
              <w:t>range of water heaters and heated water systems.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2.9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 xml:space="preserve">Provide allowance for expansion and contraction. 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2.10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Include acoustic performance of t</w:t>
            </w:r>
            <w:r w:rsidRPr="000707F3">
              <w:t>he system in plans.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Design complex (non-solar) heated water supply and distribution systems using plans and details of system components and established design parameters.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Design suitable system approaches.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Design and size system using manufacturer</w:t>
            </w:r>
            <w:r>
              <w:t>’</w:t>
            </w:r>
            <w:r w:rsidRPr="000707F3">
              <w:t>s design information and calculations.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Calculate pipe sizes, velocities and pressures according to manufacturer</w:t>
            </w:r>
            <w:r>
              <w:t>’</w:t>
            </w:r>
            <w:r w:rsidRPr="000707F3">
              <w:t>s piping design requirements.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Prepare documentation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Prepare client brief of the preferred design.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Prepare plans and specifications.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Prepare testing and commissioning schedule.</w:t>
            </w:r>
          </w:p>
        </w:tc>
      </w:tr>
      <w:tr w:rsidTr="000707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7F3">
            <w:pPr>
              <w:pStyle w:val="BodyText"/>
              <w:rPr>
                <w:lang w:val="en-NZ"/>
              </w:rPr>
            </w:pPr>
            <w:r w:rsidRPr="000707F3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7F3" w:rsidP="000707F3">
            <w:pPr>
              <w:pStyle w:val="BodyText"/>
            </w:pPr>
            <w:r w:rsidRPr="000707F3">
              <w:t>Produce operation and maintenance manual.</w:t>
            </w:r>
          </w:p>
        </w:tc>
      </w:tr>
    </w:tbl>
    <w:p w:rsidR="00000000" w:rsidRPr="000707F3" w:rsidP="000707F3">
      <w:pPr>
        <w:pStyle w:val="BodyText"/>
      </w:pPr>
    </w:p>
    <w:p w:rsidR="00000000" w:rsidRPr="000707F3" w:rsidP="000707F3">
      <w:pPr>
        <w:pStyle w:val="AllowPageBreak"/>
      </w:pPr>
    </w:p>
    <w:p w:rsidR="00000000" w:rsidRPr="000707F3" w:rsidP="000707F3">
      <w:pPr>
        <w:pStyle w:val="Heading1"/>
      </w:pPr>
      <w:bookmarkStart w:id="6" w:name="O_1159361"/>
      <w:bookmarkEnd w:id="6"/>
      <w:r w:rsidRPr="000707F3">
        <w:t>Foundation Skills</w:t>
      </w:r>
    </w:p>
    <w:p w:rsidR="00000000" w:rsidRPr="000707F3" w:rsidP="00CF64DB">
      <w:pPr>
        <w:pStyle w:val="BodyText"/>
      </w:pPr>
      <w:r w:rsidRPr="000707F3">
        <w:t xml:space="preserve">Foundation skills essential to performance are explicit in the performance criteria of this unit of competency. </w:t>
      </w:r>
    </w:p>
    <w:p w:rsidR="00000000" w:rsidRPr="000707F3" w:rsidP="000707F3">
      <w:pPr>
        <w:pStyle w:val="Heading1"/>
      </w:pPr>
      <w:bookmarkStart w:id="7" w:name="O_1159360"/>
      <w:bookmarkEnd w:id="7"/>
      <w:r w:rsidRPr="000707F3">
        <w:t>Unit Mapping Information</w:t>
      </w:r>
    </w:p>
    <w:p w:rsidR="00000000" w:rsidRPr="000707F3" w:rsidP="00CF64DB">
      <w:pPr>
        <w:pStyle w:val="BodyText"/>
      </w:pPr>
      <w:r w:rsidRPr="000707F3">
        <w:t>Supersedes and is equivalent to CPCPCM5013A Design complex (non-solar) heated water systems.</w:t>
      </w:r>
    </w:p>
    <w:p w:rsidR="00000000" w:rsidRPr="000707F3" w:rsidP="000707F3">
      <w:pPr>
        <w:pStyle w:val="Heading1"/>
      </w:pPr>
      <w:bookmarkStart w:id="8" w:name="O_1159367"/>
      <w:bookmarkEnd w:id="8"/>
      <w:r w:rsidRPr="000707F3">
        <w:t>Links</w:t>
      </w:r>
    </w:p>
    <w:p w:rsidR="00000000" w:rsidRPr="000707F3" w:rsidP="00CF64DB">
      <w:pPr>
        <w:pStyle w:val="BodyText"/>
      </w:pPr>
      <w:r w:rsidRPr="000707F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6024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707F3" w:rsidP="000707F3"/>
    <w:sectPr w:rsidSect="000707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F3" w:rsidRPr="00CF64DB" w:rsidP="00CF64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DB" w:rsidP="00070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4DB" w:rsidP="00070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F64DB" w:rsidP="000707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7F3" w:rsidRPr="00CF64DB" w:rsidP="00CF64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DB" w:rsidRPr="002D2AF8" w:rsidP="00070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CPCPCM5013 Design complex (non-solar) heated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F64DB" w:rsidP="000707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7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7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7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7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7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7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7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7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7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7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7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7F3"/>
  </w:style>
  <w:style w:type="character" w:customStyle="1" w:styleId="Heading1Char">
    <w:name w:val="Heading 1 Char"/>
    <w:basedOn w:val="DefaultParagraphFont"/>
    <w:link w:val="Heading1"/>
    <w:rsid w:val="000707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7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7F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707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7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7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7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7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7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7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7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7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7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7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7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7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7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7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7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7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07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07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707F3"/>
    <w:rPr>
      <w:b/>
      <w:spacing w:val="0"/>
    </w:rPr>
  </w:style>
  <w:style w:type="paragraph" w:customStyle="1" w:styleId="SuperTitle">
    <w:name w:val="SuperTitle"/>
    <w:basedOn w:val="Title"/>
    <w:rsid w:val="000707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7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7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7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7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7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7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7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7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7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7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7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7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07F3"/>
    <w:rPr>
      <w:i/>
    </w:rPr>
  </w:style>
  <w:style w:type="paragraph" w:styleId="Caption">
    <w:name w:val="caption"/>
    <w:basedOn w:val="BodyText"/>
    <w:next w:val="Normal"/>
    <w:qFormat/>
    <w:rsid w:val="000707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7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7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7F3"/>
  </w:style>
  <w:style w:type="paragraph" w:styleId="TableofFigures">
    <w:name w:val="table of figures"/>
    <w:basedOn w:val="Normal"/>
    <w:next w:val="Normal"/>
    <w:semiHidden/>
    <w:rsid w:val="000707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7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07F3"/>
    <w:rPr>
      <w:rFonts w:ascii="Wingdings" w:hAnsi="Wingdings"/>
    </w:rPr>
  </w:style>
  <w:style w:type="paragraph" w:customStyle="1" w:styleId="TableHeading">
    <w:name w:val="Table Heading"/>
    <w:basedOn w:val="HeadingBase"/>
    <w:rsid w:val="000707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7F3"/>
    <w:rPr>
      <w:color w:val="0033CC"/>
      <w:u w:val="none"/>
    </w:rPr>
  </w:style>
  <w:style w:type="paragraph" w:customStyle="1" w:styleId="BodyTextRight">
    <w:name w:val="Body Text Right"/>
    <w:basedOn w:val="BodyText"/>
    <w:rsid w:val="000707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7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7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7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7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7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7F3"/>
    <w:rPr>
      <w:sz w:val="32"/>
    </w:rPr>
  </w:style>
  <w:style w:type="paragraph" w:customStyle="1" w:styleId="HeadingProcedure">
    <w:name w:val="Heading Procedure"/>
    <w:basedOn w:val="HeadingBase"/>
    <w:next w:val="Normal"/>
    <w:rsid w:val="000707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7F3"/>
    <w:pPr>
      <w:spacing w:before="60" w:after="60"/>
    </w:pPr>
  </w:style>
  <w:style w:type="paragraph" w:styleId="ListContinue">
    <w:name w:val="List Continue"/>
    <w:basedOn w:val="List"/>
    <w:rsid w:val="000707F3"/>
    <w:pPr>
      <w:ind w:firstLine="0"/>
    </w:pPr>
  </w:style>
  <w:style w:type="paragraph" w:customStyle="1" w:styleId="ListNote">
    <w:name w:val="List Note"/>
    <w:basedOn w:val="List"/>
    <w:rsid w:val="000707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7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7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7F3"/>
    <w:rPr>
      <w:rFonts w:ascii="Courier New" w:hAnsi="Courier New"/>
    </w:rPr>
  </w:style>
  <w:style w:type="paragraph" w:customStyle="1" w:styleId="NoteBullet">
    <w:name w:val="Note Bullet"/>
    <w:basedOn w:val="Note"/>
    <w:rsid w:val="000707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7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7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7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7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07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7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7F3"/>
    <w:rPr>
      <w:b/>
      <w:smallCaps/>
    </w:rPr>
  </w:style>
  <w:style w:type="paragraph" w:customStyle="1" w:styleId="TableListNumber">
    <w:name w:val="Table List Number"/>
    <w:basedOn w:val="ListNumber"/>
    <w:rsid w:val="000707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7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7F3"/>
    <w:pPr>
      <w:numPr>
        <w:numId w:val="7"/>
      </w:numPr>
    </w:pPr>
  </w:style>
  <w:style w:type="paragraph" w:customStyle="1" w:styleId="ListAlpha2">
    <w:name w:val="List Alpha 2"/>
    <w:basedOn w:val="List2"/>
    <w:rsid w:val="000707F3"/>
    <w:pPr>
      <w:numPr>
        <w:numId w:val="6"/>
      </w:numPr>
    </w:pPr>
  </w:style>
  <w:style w:type="paragraph" w:styleId="List2">
    <w:name w:val="List 2"/>
    <w:basedOn w:val="BodyText"/>
    <w:rsid w:val="000707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7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7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7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7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7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07F3"/>
    <w:pPr>
      <w:numPr>
        <w:numId w:val="2"/>
      </w:numPr>
    </w:pPr>
  </w:style>
  <w:style w:type="paragraph" w:styleId="ListContinue2">
    <w:name w:val="List Continue 2"/>
    <w:basedOn w:val="List2"/>
    <w:rsid w:val="000707F3"/>
    <w:pPr>
      <w:ind w:firstLine="0"/>
    </w:pPr>
  </w:style>
  <w:style w:type="paragraph" w:styleId="ListContinue3">
    <w:name w:val="List Continue 3"/>
    <w:basedOn w:val="List3"/>
    <w:rsid w:val="000707F3"/>
    <w:pPr>
      <w:ind w:left="1021" w:firstLine="0"/>
    </w:pPr>
  </w:style>
  <w:style w:type="paragraph" w:styleId="ListContinue4">
    <w:name w:val="List Continue 4"/>
    <w:basedOn w:val="List4"/>
    <w:rsid w:val="000707F3"/>
    <w:pPr>
      <w:ind w:firstLine="0"/>
    </w:pPr>
  </w:style>
  <w:style w:type="paragraph" w:styleId="ListContinue5">
    <w:name w:val="List Continue 5"/>
    <w:basedOn w:val="List5"/>
    <w:rsid w:val="000707F3"/>
    <w:pPr>
      <w:ind w:firstLine="0"/>
    </w:pPr>
  </w:style>
  <w:style w:type="paragraph" w:styleId="ListNumber3">
    <w:name w:val="List Number 3"/>
    <w:basedOn w:val="List3"/>
    <w:rsid w:val="000707F3"/>
    <w:pPr>
      <w:numPr>
        <w:numId w:val="3"/>
      </w:numPr>
    </w:pPr>
  </w:style>
  <w:style w:type="paragraph" w:styleId="ListNumber4">
    <w:name w:val="List Number 4"/>
    <w:basedOn w:val="List4"/>
    <w:rsid w:val="000707F3"/>
    <w:pPr>
      <w:numPr>
        <w:numId w:val="4"/>
      </w:numPr>
    </w:pPr>
  </w:style>
  <w:style w:type="paragraph" w:styleId="ListNumber5">
    <w:name w:val="List Number 5"/>
    <w:basedOn w:val="List5"/>
    <w:rsid w:val="000707F3"/>
    <w:pPr>
      <w:numPr>
        <w:numId w:val="5"/>
      </w:numPr>
    </w:pPr>
  </w:style>
  <w:style w:type="paragraph" w:styleId="BlockText">
    <w:name w:val="Block Text"/>
    <w:basedOn w:val="Normal"/>
    <w:rsid w:val="000707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7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7F3"/>
    <w:rPr>
      <w:sz w:val="16"/>
      <w:vertAlign w:val="superscript"/>
    </w:rPr>
  </w:style>
  <w:style w:type="character" w:customStyle="1" w:styleId="Symbols">
    <w:name w:val="Symbols"/>
    <w:basedOn w:val="DefaultParagraphFont"/>
    <w:rsid w:val="000707F3"/>
    <w:rPr>
      <w:rFonts w:ascii="Symbol" w:hAnsi="Symbol"/>
    </w:rPr>
  </w:style>
  <w:style w:type="character" w:customStyle="1" w:styleId="MenuOptions">
    <w:name w:val="Menu Options"/>
    <w:basedOn w:val="DefaultParagraphFont"/>
    <w:rsid w:val="000707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7F3"/>
    <w:rPr>
      <w:b/>
    </w:rPr>
  </w:style>
  <w:style w:type="character" w:customStyle="1" w:styleId="Underlined">
    <w:name w:val="Underlined"/>
    <w:basedOn w:val="DefaultParagraphFont"/>
    <w:rsid w:val="000707F3"/>
    <w:rPr>
      <w:u w:val="single"/>
    </w:rPr>
  </w:style>
  <w:style w:type="paragraph" w:customStyle="1" w:styleId="TableBodyTextRight">
    <w:name w:val="Table Body Text Right"/>
    <w:basedOn w:val="TableBodyText"/>
    <w:rsid w:val="000707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7F3"/>
    <w:rPr>
      <w:sz w:val="18"/>
    </w:rPr>
  </w:style>
  <w:style w:type="paragraph" w:customStyle="1" w:styleId="BodySmallRight">
    <w:name w:val="Body Small Right"/>
    <w:basedOn w:val="BodyTextRight"/>
    <w:rsid w:val="000707F3"/>
    <w:rPr>
      <w:sz w:val="18"/>
      <w:szCs w:val="18"/>
    </w:rPr>
  </w:style>
  <w:style w:type="paragraph" w:customStyle="1" w:styleId="MarginEdition">
    <w:name w:val="Margin Edition"/>
    <w:basedOn w:val="MarginNote"/>
    <w:rsid w:val="000707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7F3"/>
    <w:rPr>
      <w:sz w:val="2"/>
      <w:szCs w:val="2"/>
    </w:rPr>
  </w:style>
  <w:style w:type="character" w:customStyle="1" w:styleId="Small">
    <w:name w:val="Small"/>
    <w:basedOn w:val="DefaultParagraphFont"/>
    <w:rsid w:val="000707F3"/>
    <w:rPr>
      <w:sz w:val="16"/>
    </w:rPr>
  </w:style>
  <w:style w:type="paragraph" w:customStyle="1" w:styleId="WideTable">
    <w:name w:val="Wide Table"/>
    <w:basedOn w:val="Normal"/>
    <w:rsid w:val="000707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7F3"/>
  </w:style>
  <w:style w:type="paragraph" w:styleId="Quote">
    <w:name w:val="Quote"/>
    <w:basedOn w:val="Heading1"/>
    <w:link w:val="QuoteChar"/>
    <w:qFormat/>
    <w:rsid w:val="000707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7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7F3"/>
    <w:pPr>
      <w:pageBreakBefore/>
    </w:pPr>
  </w:style>
  <w:style w:type="paragraph" w:customStyle="1" w:styleId="Border">
    <w:name w:val="Border"/>
    <w:basedOn w:val="Normal"/>
    <w:qFormat/>
    <w:rsid w:val="000707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7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7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7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7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7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7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7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7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7F3"/>
    <w:rPr>
      <w:u w:val="single"/>
    </w:rPr>
  </w:style>
  <w:style w:type="character" w:customStyle="1" w:styleId="BoldandItalics">
    <w:name w:val="Bold and Italics"/>
    <w:qFormat/>
    <w:rsid w:val="000707F3"/>
    <w:rPr>
      <w:b/>
      <w:i/>
      <w:u w:val="none"/>
    </w:rPr>
  </w:style>
  <w:style w:type="paragraph" w:styleId="BalloonText">
    <w:name w:val="Balloon Text"/>
    <w:basedOn w:val="Normal"/>
    <w:link w:val="BalloonTextChar"/>
    <w:rsid w:val="00070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7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7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7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7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7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7F3"/>
    <w:pPr>
      <w:spacing w:before="0" w:after="0"/>
    </w:pPr>
  </w:style>
  <w:style w:type="paragraph" w:customStyle="1" w:styleId="BodyTextBold">
    <w:name w:val="Body Text Bold"/>
    <w:basedOn w:val="BodyText"/>
    <w:qFormat/>
    <w:rsid w:val="000707F3"/>
    <w:rPr>
      <w:b/>
    </w:rPr>
  </w:style>
  <w:style w:type="character" w:styleId="Hyperlink">
    <w:name w:val="Hyperlink"/>
    <w:basedOn w:val="DefaultParagraphFont"/>
    <w:uiPriority w:val="99"/>
    <w:unhideWhenUsed/>
    <w:rsid w:val="00CF64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652</Words>
  <Characters>4119</Characters>
  <Application>Microsoft Office Word</Application>
  <DocSecurity>0</DocSecurity>
  <Lines>196</Lines>
  <Paragraphs>103</Paragraphs>
  <ScaleCrop>false</ScaleCrop>
  <Company>Author-it Software Corporation Ltd.</Company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CPCPCM5013 Design complex (non-solar) heated water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2024-12-24T01:06:00Z</dcterms:modified>
</cp:coreProperties>
</file>