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3A4F" w:rsidP="00C83A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CPCPCM3025 Install trench support</w:t>
      </w:r>
      <w:r>
        <w:fldChar w:fldCharType="end"/>
      </w:r>
    </w:p>
    <w:p w:rsidR="00C83A4F" w:rsidP="00C83A4F">
      <w:pPr>
        <w:pStyle w:val="Version"/>
        <w:sectPr w:rsidSect="005C5C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5CCC" w:rsidP="005C5CCC">
      <w:pPr>
        <w:pStyle w:val="SuperHeading"/>
      </w:pPr>
      <w:r w:rsidRPr="005C5CCC">
        <w:t>Assessment Requirements for CPCPCM3025 Install trench support</w:t>
      </w:r>
    </w:p>
    <w:p w:rsidR="00000000" w:rsidRPr="005C5CCC" w:rsidP="005C5CCC">
      <w:pPr>
        <w:pStyle w:val="Heading1"/>
      </w:pPr>
      <w:bookmarkStart w:id="1" w:name="O_1159982"/>
      <w:bookmarkEnd w:id="1"/>
      <w:r w:rsidRPr="005C5C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400"/>
      </w:tblGrid>
      <w:tr w:rsidTr="005C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CCC">
            <w:pPr>
              <w:pStyle w:val="BodyText"/>
              <w:rPr>
                <w:lang w:val="en-NZ"/>
              </w:rPr>
            </w:pPr>
            <w:r w:rsidRPr="005C5CCC">
              <w:t>Release 2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CCC" w:rsidP="005C5CCC">
            <w:pPr>
              <w:pStyle w:val="BodyText"/>
            </w:pPr>
            <w:r w:rsidRPr="005C5CCC">
              <w:t>This version first released with CPC Construction, Plumbing and Services Training Package Release 5.1.</w:t>
            </w:r>
          </w:p>
          <w:p w:rsidR="00000000" w:rsidP="005C5CCC">
            <w:pPr>
              <w:pStyle w:val="BodyText"/>
              <w:rPr>
                <w:lang w:val="en-NZ"/>
              </w:rPr>
            </w:pPr>
            <w:r w:rsidRPr="005C5CCC">
              <w:t>Typographical errors corrected in Element 1.3 and 3.1.</w:t>
            </w:r>
          </w:p>
        </w:tc>
      </w:tr>
      <w:tr w:rsidTr="005C5C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CCC">
            <w:pPr>
              <w:pStyle w:val="BodyText"/>
              <w:rPr>
                <w:lang w:val="en-NZ"/>
              </w:rPr>
            </w:pPr>
            <w:r w:rsidRPr="005C5CCC">
              <w:t>Release 1</w:t>
            </w:r>
          </w:p>
        </w:tc>
        <w:tc>
          <w:tcPr>
            <w:tcW w:w="7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CCC" w:rsidP="005C5CCC">
            <w:pPr>
              <w:pStyle w:val="BodyText"/>
            </w:pPr>
            <w:r w:rsidRPr="005C5CCC">
              <w:t>This version first rel</w:t>
            </w:r>
            <w:r w:rsidRPr="005C5CCC">
              <w:t>eased with CPC Construction, Plumbing and Services Training Package Release 5.0.</w:t>
            </w:r>
          </w:p>
          <w:p w:rsidR="00000000" w:rsidRPr="005C5CCC" w:rsidP="005C5CCC">
            <w:pPr>
              <w:pStyle w:val="BodyText"/>
            </w:pPr>
            <w:r w:rsidRPr="005C5CCC">
              <w:t>New unit.</w:t>
            </w:r>
          </w:p>
        </w:tc>
      </w:tr>
    </w:tbl>
    <w:p w:rsidR="00000000" w:rsidRPr="005C5CCC" w:rsidP="005C5CCC">
      <w:pPr>
        <w:pStyle w:val="BodyText"/>
      </w:pPr>
    </w:p>
    <w:p w:rsidR="00000000" w:rsidRPr="005C5CCC" w:rsidP="005C5CCC">
      <w:pPr>
        <w:pStyle w:val="AllowPageBreak"/>
      </w:pPr>
    </w:p>
    <w:p w:rsidR="00000000" w:rsidRPr="005C5CCC" w:rsidP="005C5CCC">
      <w:pPr>
        <w:pStyle w:val="Heading1"/>
      </w:pPr>
      <w:bookmarkStart w:id="2" w:name="O_1159981"/>
      <w:bookmarkEnd w:id="2"/>
      <w:r w:rsidRPr="005C5CCC">
        <w:t>Performance Evidence</w:t>
      </w:r>
    </w:p>
    <w:p w:rsidR="00000000" w:rsidRPr="005C5CCC" w:rsidP="00C83A4F">
      <w:pPr>
        <w:pStyle w:val="BodyText"/>
      </w:pPr>
      <w:r w:rsidRPr="005C5CCC">
        <w:t>To demonstrate competency, a candidate must meet the performance criteria for this unit by:</w:t>
      </w:r>
    </w:p>
    <w:p w:rsidR="00000000" w:rsidRPr="005C5CCC" w:rsidP="005C5CCC">
      <w:pPr>
        <w:pStyle w:val="ListBullet"/>
      </w:pPr>
      <w:r w:rsidRPr="005C5CCC">
        <w:t>installing and removing as a m</w:t>
      </w:r>
      <w:r w:rsidRPr="005C5CCC">
        <w:t>inimum, two trench support systems using an approved shoring method and equipment to a minimum depth of 1.5 metres.</w:t>
      </w:r>
    </w:p>
    <w:p w:rsidR="00000000" w:rsidRPr="005C5CCC" w:rsidP="005C5CCC">
      <w:pPr>
        <w:pStyle w:val="AllowPageBreak"/>
      </w:pPr>
    </w:p>
    <w:p w:rsidR="00000000" w:rsidRPr="005C5CCC" w:rsidP="005C5CCC">
      <w:pPr>
        <w:pStyle w:val="Heading1"/>
      </w:pPr>
      <w:bookmarkStart w:id="3" w:name="O_1159980"/>
      <w:bookmarkEnd w:id="3"/>
      <w:r w:rsidRPr="005C5CCC">
        <w:t>Knowledge Evidence</w:t>
      </w:r>
    </w:p>
    <w:p w:rsidR="00000000" w:rsidRPr="005C5CCC" w:rsidP="00C83A4F">
      <w:pPr>
        <w:pStyle w:val="BodyText"/>
      </w:pPr>
      <w:r w:rsidRPr="005C5CCC">
        <w:t>To be competent in this unit, a candidate must demonstrate knowledge of:</w:t>
      </w:r>
    </w:p>
    <w:p w:rsidR="00000000" w:rsidRPr="005C5CCC" w:rsidP="005C5CCC">
      <w:pPr>
        <w:pStyle w:val="ListBullet"/>
      </w:pPr>
      <w:r w:rsidRPr="005C5CCC">
        <w:t>types of trench support systems including:</w:t>
      </w:r>
    </w:p>
    <w:p w:rsidR="00000000" w:rsidRPr="005C5CCC" w:rsidP="005C5CCC">
      <w:pPr>
        <w:pStyle w:val="ListBullet2"/>
      </w:pPr>
      <w:r w:rsidRPr="005C5CCC">
        <w:t>aluminium shoring shields</w:t>
      </w:r>
    </w:p>
    <w:p w:rsidR="00000000" w:rsidRPr="005C5CCC" w:rsidP="005C5CCC">
      <w:pPr>
        <w:pStyle w:val="ListBullet2"/>
      </w:pPr>
      <w:r w:rsidRPr="005C5CCC">
        <w:t>close timber shoring</w:t>
      </w:r>
    </w:p>
    <w:p w:rsidR="00000000" w:rsidRPr="005C5CCC" w:rsidP="005C5CCC">
      <w:pPr>
        <w:pStyle w:val="ListBullet2"/>
      </w:pPr>
      <w:r w:rsidRPr="005C5CCC">
        <w:t>drag boxes</w:t>
      </w:r>
    </w:p>
    <w:p w:rsidR="00000000" w:rsidRPr="005C5CCC" w:rsidP="005C5CCC">
      <w:pPr>
        <w:pStyle w:val="ListBullet2"/>
      </w:pPr>
      <w:r w:rsidRPr="005C5CCC">
        <w:t>fixed and/or adjustable trench boxes</w:t>
      </w:r>
    </w:p>
    <w:p w:rsidR="00000000" w:rsidRPr="005C5CCC" w:rsidP="005C5CCC">
      <w:pPr>
        <w:pStyle w:val="ListBullet2"/>
      </w:pPr>
      <w:r w:rsidRPr="005C5CCC">
        <w:t>hydraulic vertical shoring</w:t>
      </w:r>
    </w:p>
    <w:p w:rsidR="00000000" w:rsidRPr="005C5CCC" w:rsidP="005C5CCC">
      <w:pPr>
        <w:pStyle w:val="ListBullet2"/>
      </w:pPr>
      <w:r w:rsidRPr="005C5CCC">
        <w:t>lite box aluminium panels</w:t>
      </w:r>
    </w:p>
    <w:p w:rsidR="00000000" w:rsidRPr="005C5CCC" w:rsidP="005C5CCC">
      <w:pPr>
        <w:pStyle w:val="ListBullet2"/>
      </w:pPr>
      <w:r w:rsidRPr="005C5CCC">
        <w:t>powerbrace</w:t>
      </w:r>
    </w:p>
    <w:p w:rsidR="00000000" w:rsidRPr="005C5CCC" w:rsidP="005C5CCC">
      <w:pPr>
        <w:pStyle w:val="ListBullet2"/>
      </w:pPr>
      <w:r w:rsidRPr="005C5CCC">
        <w:t>slide rails</w:t>
      </w:r>
    </w:p>
    <w:p w:rsidR="00000000" w:rsidRPr="005C5CCC" w:rsidP="005C5CCC">
      <w:pPr>
        <w:pStyle w:val="ListBullet2"/>
      </w:pPr>
      <w:r w:rsidRPr="005C5CCC">
        <w:t>raking shoring</w:t>
      </w:r>
    </w:p>
    <w:p w:rsidR="00000000" w:rsidRPr="005C5CCC" w:rsidP="005C5CCC">
      <w:pPr>
        <w:pStyle w:val="ListBullet"/>
      </w:pPr>
      <w:r w:rsidRPr="005C5CCC">
        <w:t>hazards associated with excavation including:</w:t>
      </w:r>
    </w:p>
    <w:p w:rsidR="00000000" w:rsidRPr="005C5CCC" w:rsidP="005C5CCC">
      <w:pPr>
        <w:pStyle w:val="ListBullet2"/>
      </w:pPr>
      <w:r w:rsidRPr="005C5CCC">
        <w:t>soil types and the likelihood of sudden changes in soil</w:t>
      </w:r>
    </w:p>
    <w:p w:rsidR="00000000" w:rsidRPr="005C5CCC" w:rsidP="005C5CCC">
      <w:pPr>
        <w:pStyle w:val="ListBullet2"/>
      </w:pPr>
      <w:r w:rsidRPr="005C5CCC">
        <w:t>presence of ground water and water entering cracks in soil adjacent to the excavation</w:t>
      </w:r>
    </w:p>
    <w:p w:rsidR="00000000" w:rsidRPr="005C5CCC" w:rsidP="005C5CCC">
      <w:pPr>
        <w:pStyle w:val="ListBullet2"/>
      </w:pPr>
      <w:r w:rsidRPr="005C5CCC">
        <w:t>effects on ground material by exposure to the air after excavation</w:t>
      </w:r>
    </w:p>
    <w:p w:rsidR="00000000" w:rsidRPr="005C5CCC" w:rsidP="005C5CCC">
      <w:pPr>
        <w:pStyle w:val="ListBullet2"/>
      </w:pPr>
      <w:r w:rsidRPr="005C5CCC">
        <w:t>vibration due to machinery, plant, motor vehicles and machinery</w:t>
      </w:r>
    </w:p>
    <w:p w:rsidR="00000000" w:rsidRPr="005C5CCC" w:rsidP="005C5CCC">
      <w:pPr>
        <w:pStyle w:val="ListBullet2"/>
      </w:pPr>
      <w:r w:rsidRPr="005C5CCC">
        <w:t>excavation depth and shape</w:t>
      </w:r>
    </w:p>
    <w:p w:rsidR="00000000" w:rsidRPr="005C5CCC" w:rsidP="005C5CCC">
      <w:pPr>
        <w:pStyle w:val="ListBullet2"/>
      </w:pPr>
      <w:r w:rsidRPr="005C5CCC">
        <w:t>presence or proximity of other underground services</w:t>
      </w:r>
    </w:p>
    <w:p w:rsidR="00000000" w:rsidRPr="005C5CCC" w:rsidP="005C5CCC">
      <w:pPr>
        <w:pStyle w:val="ListBullet2"/>
      </w:pPr>
      <w:r w:rsidRPr="005C5CCC">
        <w:t>presence of excavation, backfill material or equipment placed near an excavation</w:t>
      </w:r>
    </w:p>
    <w:p w:rsidR="00000000" w:rsidRPr="005C5CCC" w:rsidP="005C5CCC">
      <w:pPr>
        <w:pStyle w:val="ListBullet2"/>
      </w:pPr>
      <w:r w:rsidRPr="005C5CCC">
        <w:t>excavation within public propert</w:t>
      </w:r>
      <w:r w:rsidRPr="005C5CCC">
        <w:t>y requirements</w:t>
      </w:r>
    </w:p>
    <w:p w:rsidR="00000000" w:rsidRPr="005C5CCC" w:rsidP="005C5CCC">
      <w:pPr>
        <w:pStyle w:val="ListBullet2"/>
      </w:pPr>
      <w:r w:rsidRPr="005C5CCC">
        <w:t>excavation close to footings and buildings</w:t>
      </w:r>
    </w:p>
    <w:p w:rsidR="00000000" w:rsidRPr="005C5CCC" w:rsidP="005C5CCC">
      <w:pPr>
        <w:pStyle w:val="ListBullet"/>
      </w:pPr>
      <w:r w:rsidRPr="005C5CCC">
        <w:t>work health and safety (WHS) requirements associated with the installation of trench support systems</w:t>
      </w:r>
    </w:p>
    <w:p w:rsidR="00000000" w:rsidRPr="005C5CCC" w:rsidP="005C5CCC">
      <w:pPr>
        <w:pStyle w:val="ListBullet"/>
      </w:pPr>
      <w:r w:rsidRPr="005C5CCC">
        <w:t>how to access relevant information, including job plans and specifications, codes, Australian st</w:t>
      </w:r>
      <w:r w:rsidRPr="005C5CCC">
        <w:t xml:space="preserve">andards, manufacturer’s specifications and jurisdictional requirements </w:t>
      </w:r>
    </w:p>
    <w:p w:rsidR="00000000" w:rsidRPr="005C5CCC" w:rsidP="005C5CCC">
      <w:pPr>
        <w:pStyle w:val="ListBullet"/>
      </w:pPr>
      <w:r w:rsidRPr="005C5CCC">
        <w:t>tools, materials and equipment used for the installing trench support.</w:t>
      </w:r>
    </w:p>
    <w:p w:rsidR="00000000" w:rsidRPr="005C5CCC" w:rsidP="005C5CCC">
      <w:pPr>
        <w:pStyle w:val="AllowPageBreak"/>
      </w:pPr>
    </w:p>
    <w:p w:rsidR="00000000" w:rsidRPr="005C5CCC" w:rsidP="005C5CCC">
      <w:pPr>
        <w:pStyle w:val="Heading1"/>
      </w:pPr>
      <w:bookmarkStart w:id="4" w:name="O_1159979"/>
      <w:bookmarkEnd w:id="4"/>
      <w:r w:rsidRPr="005C5CCC">
        <w:t>Assessment Conditions</w:t>
      </w:r>
    </w:p>
    <w:p w:rsidR="00000000" w:rsidRPr="005C5CCC" w:rsidP="00C83A4F">
      <w:pPr>
        <w:pStyle w:val="BodyText"/>
      </w:pPr>
      <w:r w:rsidRPr="005C5CCC">
        <w:t xml:space="preserve">Assessors must satisfy the requirements for assessors listed in the Standards for Registered Training Organisations. </w:t>
      </w:r>
    </w:p>
    <w:p w:rsidR="00000000" w:rsidRPr="005C5CCC" w:rsidP="00C83A4F">
      <w:pPr>
        <w:pStyle w:val="BodyText"/>
      </w:pPr>
      <w:r w:rsidRPr="005C5CCC">
        <w:t>This unit must be assessed in the workplace or a close simulation using realistic workplace conditions, materials, activities, responsibil</w:t>
      </w:r>
      <w:r w:rsidRPr="005C5CCC">
        <w:t>ities, procedures, safety requirements and environmental considerations.</w:t>
      </w:r>
    </w:p>
    <w:p w:rsidR="00000000" w:rsidRPr="005C5CCC" w:rsidP="005C5CCC">
      <w:pPr>
        <w:pStyle w:val="Heading1"/>
      </w:pPr>
      <w:bookmarkStart w:id="5" w:name="O_1159992"/>
      <w:bookmarkEnd w:id="5"/>
      <w:r w:rsidRPr="005C5CCC">
        <w:t>Links</w:t>
      </w:r>
    </w:p>
    <w:p w:rsidR="00000000" w:rsidRPr="005C5CCC" w:rsidP="00C83A4F">
      <w:pPr>
        <w:pStyle w:val="BodyText"/>
      </w:pPr>
      <w:r w:rsidRPr="005C5CC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939B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C5CCC" w:rsidP="005C5CCC"/>
    <w:sectPr w:rsidSect="005C5C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C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CCC" w:rsidRPr="00C83A4F" w:rsidP="00C83A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C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4F" w:rsidP="005C5C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3A4F" w:rsidP="005C5C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83A4F" w:rsidP="005C5C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C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5CCC" w:rsidRPr="00C83A4F" w:rsidP="00C83A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C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A4F" w:rsidRPr="002D2AF8" w:rsidP="005C5C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CPCPCM3025 Install trench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83A4F" w:rsidP="005C5C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40CE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8896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4609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C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5C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5C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5C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5C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5C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5C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5C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5C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5C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5C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5CCC"/>
  </w:style>
  <w:style w:type="character" w:customStyle="1" w:styleId="Heading1Char">
    <w:name w:val="Heading 1 Char"/>
    <w:basedOn w:val="DefaultParagraphFont"/>
    <w:link w:val="Heading1"/>
    <w:rsid w:val="005C5C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5C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5C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5C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5C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5C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5C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5C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5C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5C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5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5C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5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5C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5C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5C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5C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5C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5C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5C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5C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5C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5C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5C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5C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5C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5C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5CCC"/>
    <w:rPr>
      <w:b/>
      <w:spacing w:val="0"/>
    </w:rPr>
  </w:style>
  <w:style w:type="paragraph" w:customStyle="1" w:styleId="SuperTitle">
    <w:name w:val="SuperTitle"/>
    <w:basedOn w:val="Title"/>
    <w:rsid w:val="005C5C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5C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5C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5C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5C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5C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5C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5C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5C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5C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5C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5C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5CCC"/>
    <w:rPr>
      <w:i/>
    </w:rPr>
  </w:style>
  <w:style w:type="paragraph" w:styleId="Caption">
    <w:name w:val="caption"/>
    <w:basedOn w:val="BodyText"/>
    <w:next w:val="Normal"/>
    <w:qFormat/>
    <w:rsid w:val="005C5C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5C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5C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5CCC"/>
  </w:style>
  <w:style w:type="paragraph" w:styleId="TableofFigures">
    <w:name w:val="table of figures"/>
    <w:basedOn w:val="Normal"/>
    <w:next w:val="Normal"/>
    <w:semiHidden/>
    <w:rsid w:val="005C5C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5C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5CCC"/>
    <w:rPr>
      <w:rFonts w:ascii="Wingdings" w:hAnsi="Wingdings"/>
    </w:rPr>
  </w:style>
  <w:style w:type="paragraph" w:customStyle="1" w:styleId="TableHeading">
    <w:name w:val="Table Heading"/>
    <w:basedOn w:val="HeadingBase"/>
    <w:rsid w:val="005C5C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5CCC"/>
    <w:rPr>
      <w:color w:val="0033CC"/>
      <w:u w:val="none"/>
    </w:rPr>
  </w:style>
  <w:style w:type="paragraph" w:customStyle="1" w:styleId="BodyTextRight">
    <w:name w:val="Body Text Right"/>
    <w:basedOn w:val="BodyText"/>
    <w:rsid w:val="005C5C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5C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5C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5C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5C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5C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5CCC"/>
    <w:rPr>
      <w:sz w:val="32"/>
    </w:rPr>
  </w:style>
  <w:style w:type="paragraph" w:customStyle="1" w:styleId="HeadingProcedure">
    <w:name w:val="Heading Procedure"/>
    <w:basedOn w:val="HeadingBase"/>
    <w:next w:val="Normal"/>
    <w:rsid w:val="005C5C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5CCC"/>
    <w:pPr>
      <w:spacing w:before="60" w:after="60"/>
    </w:pPr>
  </w:style>
  <w:style w:type="paragraph" w:styleId="ListContinue">
    <w:name w:val="List Continue"/>
    <w:basedOn w:val="List"/>
    <w:rsid w:val="005C5CCC"/>
    <w:pPr>
      <w:ind w:firstLine="0"/>
    </w:pPr>
  </w:style>
  <w:style w:type="paragraph" w:customStyle="1" w:styleId="ListNote">
    <w:name w:val="List Note"/>
    <w:basedOn w:val="List"/>
    <w:rsid w:val="005C5C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5C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5C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5CCC"/>
    <w:rPr>
      <w:rFonts w:ascii="Courier New" w:hAnsi="Courier New"/>
    </w:rPr>
  </w:style>
  <w:style w:type="paragraph" w:customStyle="1" w:styleId="NoteBullet">
    <w:name w:val="Note Bullet"/>
    <w:basedOn w:val="Note"/>
    <w:rsid w:val="005C5C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5C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5C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5C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5C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5C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5C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5CCC"/>
    <w:rPr>
      <w:b/>
      <w:smallCaps/>
    </w:rPr>
  </w:style>
  <w:style w:type="paragraph" w:customStyle="1" w:styleId="TableListNumber">
    <w:name w:val="Table List Number"/>
    <w:basedOn w:val="ListNumber"/>
    <w:rsid w:val="005C5C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5C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5CCC"/>
    <w:pPr>
      <w:numPr>
        <w:numId w:val="9"/>
      </w:numPr>
    </w:pPr>
  </w:style>
  <w:style w:type="paragraph" w:customStyle="1" w:styleId="ListAlpha2">
    <w:name w:val="List Alpha 2"/>
    <w:basedOn w:val="List2"/>
    <w:rsid w:val="005C5CCC"/>
    <w:pPr>
      <w:numPr>
        <w:numId w:val="8"/>
      </w:numPr>
    </w:pPr>
  </w:style>
  <w:style w:type="paragraph" w:styleId="List2">
    <w:name w:val="List 2"/>
    <w:basedOn w:val="BodyText"/>
    <w:rsid w:val="005C5C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5C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5C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5C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5C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5C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5CCC"/>
    <w:pPr>
      <w:numPr>
        <w:numId w:val="4"/>
      </w:numPr>
    </w:pPr>
  </w:style>
  <w:style w:type="paragraph" w:styleId="ListContinue2">
    <w:name w:val="List Continue 2"/>
    <w:basedOn w:val="List2"/>
    <w:rsid w:val="005C5CCC"/>
    <w:pPr>
      <w:ind w:firstLine="0"/>
    </w:pPr>
  </w:style>
  <w:style w:type="paragraph" w:styleId="ListContinue3">
    <w:name w:val="List Continue 3"/>
    <w:basedOn w:val="List3"/>
    <w:rsid w:val="005C5CCC"/>
    <w:pPr>
      <w:ind w:left="1021" w:firstLine="0"/>
    </w:pPr>
  </w:style>
  <w:style w:type="paragraph" w:styleId="ListContinue4">
    <w:name w:val="List Continue 4"/>
    <w:basedOn w:val="List4"/>
    <w:rsid w:val="005C5CCC"/>
    <w:pPr>
      <w:ind w:firstLine="0"/>
    </w:pPr>
  </w:style>
  <w:style w:type="paragraph" w:styleId="ListContinue5">
    <w:name w:val="List Continue 5"/>
    <w:basedOn w:val="List5"/>
    <w:rsid w:val="005C5CCC"/>
    <w:pPr>
      <w:ind w:firstLine="0"/>
    </w:pPr>
  </w:style>
  <w:style w:type="paragraph" w:styleId="ListNumber3">
    <w:name w:val="List Number 3"/>
    <w:basedOn w:val="List3"/>
    <w:rsid w:val="005C5CCC"/>
    <w:pPr>
      <w:numPr>
        <w:numId w:val="5"/>
      </w:numPr>
    </w:pPr>
  </w:style>
  <w:style w:type="paragraph" w:styleId="ListNumber4">
    <w:name w:val="List Number 4"/>
    <w:basedOn w:val="List4"/>
    <w:rsid w:val="005C5CCC"/>
    <w:pPr>
      <w:numPr>
        <w:numId w:val="6"/>
      </w:numPr>
    </w:pPr>
  </w:style>
  <w:style w:type="paragraph" w:styleId="ListNumber5">
    <w:name w:val="List Number 5"/>
    <w:basedOn w:val="List5"/>
    <w:rsid w:val="005C5CCC"/>
    <w:pPr>
      <w:numPr>
        <w:numId w:val="7"/>
      </w:numPr>
    </w:pPr>
  </w:style>
  <w:style w:type="paragraph" w:styleId="BlockText">
    <w:name w:val="Block Text"/>
    <w:basedOn w:val="Normal"/>
    <w:rsid w:val="005C5C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5C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5CCC"/>
    <w:rPr>
      <w:sz w:val="16"/>
      <w:vertAlign w:val="superscript"/>
    </w:rPr>
  </w:style>
  <w:style w:type="character" w:customStyle="1" w:styleId="Symbols">
    <w:name w:val="Symbols"/>
    <w:basedOn w:val="DefaultParagraphFont"/>
    <w:rsid w:val="005C5CCC"/>
    <w:rPr>
      <w:rFonts w:ascii="Symbol" w:hAnsi="Symbol"/>
    </w:rPr>
  </w:style>
  <w:style w:type="character" w:customStyle="1" w:styleId="MenuOptions">
    <w:name w:val="Menu Options"/>
    <w:basedOn w:val="DefaultParagraphFont"/>
    <w:rsid w:val="005C5C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5CCC"/>
    <w:rPr>
      <w:b/>
    </w:rPr>
  </w:style>
  <w:style w:type="character" w:customStyle="1" w:styleId="Underlined">
    <w:name w:val="Underlined"/>
    <w:basedOn w:val="DefaultParagraphFont"/>
    <w:rsid w:val="005C5CCC"/>
    <w:rPr>
      <w:u w:val="single"/>
    </w:rPr>
  </w:style>
  <w:style w:type="paragraph" w:customStyle="1" w:styleId="TableBodyTextRight">
    <w:name w:val="Table Body Text Right"/>
    <w:basedOn w:val="TableBodyText"/>
    <w:rsid w:val="005C5C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5CCC"/>
    <w:rPr>
      <w:sz w:val="18"/>
    </w:rPr>
  </w:style>
  <w:style w:type="paragraph" w:customStyle="1" w:styleId="BodySmallRight">
    <w:name w:val="Body Small Right"/>
    <w:basedOn w:val="BodyTextRight"/>
    <w:rsid w:val="005C5CCC"/>
    <w:rPr>
      <w:sz w:val="18"/>
      <w:szCs w:val="18"/>
    </w:rPr>
  </w:style>
  <w:style w:type="paragraph" w:customStyle="1" w:styleId="MarginEdition">
    <w:name w:val="Margin Edition"/>
    <w:basedOn w:val="MarginNote"/>
    <w:rsid w:val="005C5C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5CCC"/>
    <w:rPr>
      <w:sz w:val="2"/>
      <w:szCs w:val="2"/>
    </w:rPr>
  </w:style>
  <w:style w:type="character" w:customStyle="1" w:styleId="Small">
    <w:name w:val="Small"/>
    <w:basedOn w:val="DefaultParagraphFont"/>
    <w:rsid w:val="005C5CCC"/>
    <w:rPr>
      <w:sz w:val="16"/>
    </w:rPr>
  </w:style>
  <w:style w:type="paragraph" w:customStyle="1" w:styleId="WideTable">
    <w:name w:val="Wide Table"/>
    <w:basedOn w:val="Normal"/>
    <w:rsid w:val="005C5C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5CCC"/>
  </w:style>
  <w:style w:type="paragraph" w:styleId="Quote">
    <w:name w:val="Quote"/>
    <w:basedOn w:val="Heading1"/>
    <w:link w:val="QuoteChar"/>
    <w:qFormat/>
    <w:rsid w:val="005C5C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5C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5CCC"/>
    <w:pPr>
      <w:pageBreakBefore/>
    </w:pPr>
  </w:style>
  <w:style w:type="paragraph" w:customStyle="1" w:styleId="Border">
    <w:name w:val="Border"/>
    <w:basedOn w:val="Normal"/>
    <w:qFormat/>
    <w:rsid w:val="005C5C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5C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C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C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5C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5C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5C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5C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5C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5CCC"/>
    <w:rPr>
      <w:u w:val="single"/>
    </w:rPr>
  </w:style>
  <w:style w:type="character" w:customStyle="1" w:styleId="BoldandItalics">
    <w:name w:val="Bold and Italics"/>
    <w:qFormat/>
    <w:rsid w:val="005C5CCC"/>
    <w:rPr>
      <w:b/>
      <w:i/>
      <w:u w:val="none"/>
    </w:rPr>
  </w:style>
  <w:style w:type="paragraph" w:styleId="BalloonText">
    <w:name w:val="Balloon Text"/>
    <w:basedOn w:val="Normal"/>
    <w:link w:val="BalloonTextChar"/>
    <w:rsid w:val="005C5C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5C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5C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5C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5C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5C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5CCC"/>
    <w:pPr>
      <w:spacing w:before="0" w:after="0"/>
    </w:pPr>
  </w:style>
  <w:style w:type="paragraph" w:customStyle="1" w:styleId="BodyTextBold">
    <w:name w:val="Body Text Bold"/>
    <w:basedOn w:val="BodyText"/>
    <w:qFormat/>
    <w:rsid w:val="005C5CCC"/>
    <w:rPr>
      <w:b/>
    </w:rPr>
  </w:style>
  <w:style w:type="character" w:styleId="Hyperlink">
    <w:name w:val="Hyperlink"/>
    <w:basedOn w:val="DefaultParagraphFont"/>
    <w:uiPriority w:val="99"/>
    <w:unhideWhenUsed/>
    <w:rsid w:val="00C83A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2290</Characters>
  <Application>Microsoft Office Word</Application>
  <DocSecurity>0</DocSecurity>
  <Lines>65</Lines>
  <Paragraphs>51</Paragraphs>
  <ScaleCrop>false</ScaleCrop>
  <Company>Author-it Software Corporation Ltd.</Company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CPCPCM3025 Install trench support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