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AFB" w:rsidP="00CF0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CPCPCM3024 Prepare simple drawings</w:t>
      </w:r>
      <w:r>
        <w:fldChar w:fldCharType="end"/>
      </w:r>
    </w:p>
    <w:p w:rsidR="00CF0AFB" w:rsidP="00CF0AFB">
      <w:pPr>
        <w:pStyle w:val="Version"/>
        <w:sectPr w:rsidSect="00987D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7D11" w:rsidP="00987D11">
      <w:pPr>
        <w:pStyle w:val="SuperHeading"/>
      </w:pPr>
      <w:r w:rsidRPr="00987D11">
        <w:t>CPCPCM3024 Prepare simple drawings</w:t>
      </w:r>
    </w:p>
    <w:p w:rsidR="00000000" w:rsidRPr="00987D11" w:rsidP="00987D11">
      <w:pPr>
        <w:pStyle w:val="Heading1"/>
      </w:pPr>
      <w:bookmarkStart w:id="1" w:name="O_1159798"/>
      <w:bookmarkEnd w:id="1"/>
      <w:r w:rsidRPr="00987D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11" w:rsidP="00987D11">
            <w:pPr>
              <w:pStyle w:val="BodyText"/>
            </w:pPr>
            <w:r w:rsidRPr="00987D11">
              <w:t>This version first released with CPC Construction, Plumbing and Services Training Package Release 5.1.</w:t>
            </w:r>
          </w:p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Knowledge Evidence formatted for clarity.</w:t>
            </w:r>
          </w:p>
        </w:tc>
      </w:tr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11" w:rsidP="00987D11">
            <w:pPr>
              <w:pStyle w:val="BodyText"/>
            </w:pPr>
            <w:r w:rsidRPr="00987D11">
              <w:t>This version first released with CPC Construction, Plumbing and Servi</w:t>
            </w:r>
            <w:r w:rsidRPr="00987D11">
              <w:t>ces Training Package Release 5.0.</w:t>
            </w:r>
          </w:p>
          <w:p w:rsidR="00000000" w:rsidRPr="00987D11" w:rsidP="00987D11">
            <w:pPr>
              <w:pStyle w:val="BodyText"/>
            </w:pPr>
            <w:r w:rsidRPr="00987D11">
              <w:t>Supersedes and is equivalent to CPCPCM4014A Prepare simple sketches and drawings.  Updated to meet the Standards for Training Packages 2012.</w:t>
            </w:r>
          </w:p>
        </w:tc>
      </w:tr>
    </w:tbl>
    <w:p w:rsidR="00000000" w:rsidRPr="00987D11" w:rsidP="00987D11">
      <w:pPr>
        <w:pStyle w:val="BodyText"/>
      </w:pPr>
    </w:p>
    <w:p w:rsidR="00000000" w:rsidRPr="00987D11" w:rsidP="00987D11">
      <w:pPr>
        <w:pStyle w:val="AllowPageBreak"/>
      </w:pPr>
    </w:p>
    <w:p w:rsidR="00000000" w:rsidRPr="00987D11" w:rsidP="00987D11">
      <w:pPr>
        <w:pStyle w:val="Heading1"/>
      </w:pPr>
      <w:bookmarkStart w:id="2" w:name="O_1159797"/>
      <w:bookmarkEnd w:id="2"/>
      <w:r w:rsidRPr="00987D11">
        <w:t>Application</w:t>
      </w:r>
    </w:p>
    <w:p w:rsidR="00000000" w:rsidRPr="00987D11" w:rsidP="00CF0AFB">
      <w:pPr>
        <w:pStyle w:val="BodyText"/>
      </w:pPr>
      <w:r w:rsidRPr="00987D11">
        <w:t>This unit specifies the skills and knowledge req</w:t>
      </w:r>
      <w:r w:rsidRPr="00987D11">
        <w:t xml:space="preserve">uired to produce onsite drawings for plumbing services work. </w:t>
      </w:r>
    </w:p>
    <w:p w:rsidR="00000000" w:rsidRPr="00987D11" w:rsidP="00CF0AFB">
      <w:pPr>
        <w:pStyle w:val="BodyText"/>
      </w:pPr>
      <w:r w:rsidRPr="00987D11">
        <w:t>In some jurisdictions, this unit of competency may form part of accreditation, licensing, legislative, regulatory or certification requirements.</w:t>
      </w:r>
    </w:p>
    <w:p w:rsidR="00000000" w:rsidRPr="00987D11" w:rsidP="00987D11">
      <w:pPr>
        <w:pStyle w:val="Heading1"/>
      </w:pPr>
      <w:bookmarkStart w:id="3" w:name="O_1159796"/>
      <w:bookmarkEnd w:id="3"/>
      <w:r w:rsidRPr="00987D11">
        <w:t>Pre-requisite Unit</w:t>
      </w:r>
    </w:p>
    <w:p w:rsidR="00000000" w:rsidRPr="00987D11" w:rsidP="00CF0AFB">
      <w:pPr>
        <w:pStyle w:val="BodyText"/>
      </w:pPr>
      <w:r w:rsidRPr="00987D11">
        <w:t xml:space="preserve">CPCPCM2043 </w:t>
      </w:r>
      <w:r w:rsidRPr="00987D11">
        <w:t>Carry out WHS requirements</w:t>
      </w:r>
    </w:p>
    <w:p w:rsidR="00000000" w:rsidRPr="00987D11" w:rsidP="00987D11">
      <w:pPr>
        <w:pStyle w:val="Heading1"/>
      </w:pPr>
      <w:bookmarkStart w:id="4" w:name="O_1159795"/>
      <w:bookmarkEnd w:id="4"/>
      <w:r w:rsidRPr="00987D11">
        <w:t>Unit Sector</w:t>
      </w:r>
    </w:p>
    <w:p w:rsidR="00000000" w:rsidRPr="00987D11" w:rsidP="00CF0AFB">
      <w:pPr>
        <w:pStyle w:val="BodyText"/>
      </w:pPr>
      <w:r w:rsidRPr="00987D11">
        <w:t>Plumbing</w:t>
      </w:r>
    </w:p>
    <w:p w:rsidR="00000000" w:rsidRPr="00987D11" w:rsidP="00987D11">
      <w:pPr>
        <w:pStyle w:val="Heading1"/>
      </w:pPr>
      <w:bookmarkStart w:id="5" w:name="O_1159794"/>
      <w:bookmarkEnd w:id="5"/>
      <w:r w:rsidRPr="00987D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Performance criteria describe what needs to be done to demonstrate achievement of the element.</w:t>
            </w:r>
          </w:p>
        </w:tc>
      </w:tr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Create simple sketches and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Identify key features required through consultation with associated persons and reference to plans.</w:t>
            </w:r>
          </w:p>
        </w:tc>
      </w:tr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 xml:space="preserve">Identify and apply workplace, work health and safety (WHS) and environmental requirements. </w:t>
            </w:r>
          </w:p>
        </w:tc>
      </w:tr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Select suitable views to create simple sketches and drawings.</w:t>
            </w:r>
          </w:p>
        </w:tc>
      </w:tr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Use standard drawing conventions, incorporating relevant codes and standards to create s</w:t>
            </w:r>
            <w:r w:rsidRPr="00987D11">
              <w:t>imple sketches and drawings.</w:t>
            </w:r>
          </w:p>
        </w:tc>
      </w:tr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</w:p>
        </w:tc>
      </w:tr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Notate and process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Record essential information on the drawing with symbols and abbreviations according to standard drawing conventions.</w:t>
            </w:r>
          </w:p>
        </w:tc>
      </w:tr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11" w:rsidP="00987D11">
            <w:pPr>
              <w:pStyle w:val="BodyText"/>
            </w:pPr>
            <w:r w:rsidRPr="00987D11">
              <w:t>Store drawings according to organisational administration and quality procedures.</w:t>
            </w:r>
          </w:p>
        </w:tc>
      </w:tr>
    </w:tbl>
    <w:p w:rsidR="00000000" w:rsidRPr="00987D11" w:rsidP="00987D11">
      <w:pPr>
        <w:pStyle w:val="BodyText"/>
      </w:pPr>
    </w:p>
    <w:p w:rsidR="00000000" w:rsidRPr="00987D11" w:rsidP="00987D11">
      <w:pPr>
        <w:pStyle w:val="AllowPageBreak"/>
      </w:pPr>
    </w:p>
    <w:p w:rsidR="00000000" w:rsidRPr="00987D11" w:rsidP="00987D11">
      <w:pPr>
        <w:pStyle w:val="Heading1"/>
      </w:pPr>
      <w:bookmarkStart w:id="6" w:name="O_1159793"/>
      <w:bookmarkEnd w:id="6"/>
      <w:r w:rsidRPr="00987D11">
        <w:t>Foundation Skills</w:t>
      </w:r>
    </w:p>
    <w:p w:rsidR="00000000" w:rsidRPr="00987D11" w:rsidP="00CF0AFB">
      <w:pPr>
        <w:pStyle w:val="BodyText"/>
      </w:pPr>
      <w:r w:rsidRPr="00987D11">
        <w:t xml:space="preserve">Foundation skills essential to performance are explicit in the performance criteria of this unit of competency. </w:t>
      </w:r>
    </w:p>
    <w:p w:rsidR="00000000" w:rsidRPr="00987D11" w:rsidP="00987D11">
      <w:pPr>
        <w:pStyle w:val="Heading1"/>
      </w:pPr>
      <w:bookmarkStart w:id="7" w:name="O_1159792"/>
      <w:bookmarkEnd w:id="7"/>
      <w:r w:rsidRPr="00987D11">
        <w:t>Uni</w:t>
      </w:r>
      <w:r w:rsidRPr="00987D11">
        <w:t>t Mapping Information</w:t>
      </w:r>
    </w:p>
    <w:p w:rsidR="00000000" w:rsidRPr="00987D11" w:rsidP="00CF0AFB">
      <w:pPr>
        <w:pStyle w:val="BodyText"/>
      </w:pPr>
      <w:r w:rsidRPr="00987D11">
        <w:t>Supersedes and is equivalent to CPCPCM4014A Prepare simple sketches and drawings.</w:t>
      </w:r>
    </w:p>
    <w:p w:rsidR="00000000" w:rsidRPr="00987D11" w:rsidP="00987D11">
      <w:pPr>
        <w:pStyle w:val="Heading1"/>
      </w:pPr>
      <w:bookmarkStart w:id="8" w:name="O_1159799"/>
      <w:bookmarkEnd w:id="8"/>
      <w:r w:rsidRPr="00987D11">
        <w:t>Links</w:t>
      </w:r>
    </w:p>
    <w:p w:rsidR="00000000" w:rsidRPr="00987D11" w:rsidP="00CF0AFB">
      <w:pPr>
        <w:pStyle w:val="BodyText"/>
      </w:pPr>
      <w:r w:rsidRPr="00987D1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337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87D11" w:rsidP="00CF0AFB">
      <w:pPr>
        <w:pStyle w:val="BodyText"/>
        <w:sectPr w:rsidSect="00987D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7D11" w:rsidP="00987D11">
      <w:pPr>
        <w:pStyle w:val="SuperHeading"/>
      </w:pPr>
      <w:r w:rsidRPr="00987D11">
        <w:t>Assessment Requirements for CPCPCM3024 Prep</w:t>
      </w:r>
      <w:r w:rsidRPr="00987D11">
        <w:t>are simple drawings</w:t>
      </w:r>
    </w:p>
    <w:p w:rsidR="00000000" w:rsidRPr="00987D11" w:rsidP="00987D11">
      <w:pPr>
        <w:pStyle w:val="Heading1"/>
      </w:pPr>
      <w:bookmarkStart w:id="9" w:name="O_1159790"/>
      <w:bookmarkEnd w:id="9"/>
      <w:r w:rsidRPr="00987D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11" w:rsidP="00987D11">
            <w:pPr>
              <w:pStyle w:val="BodyText"/>
            </w:pPr>
            <w:r w:rsidRPr="00987D11">
              <w:t>This version first released with CPC Construction, Plumbing and Services Training Package Release 5.1.</w:t>
            </w:r>
          </w:p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Knowledge Evidence formatted for clarity.</w:t>
            </w:r>
          </w:p>
        </w:tc>
      </w:tr>
      <w:tr w:rsidTr="0098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11">
            <w:pPr>
              <w:pStyle w:val="BodyText"/>
              <w:rPr>
                <w:lang w:val="en-NZ"/>
              </w:rPr>
            </w:pPr>
            <w:r w:rsidRPr="00987D1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11" w:rsidP="00987D11">
            <w:pPr>
              <w:pStyle w:val="BodyText"/>
            </w:pPr>
            <w:r w:rsidRPr="00987D11">
              <w:t>This version first released wit</w:t>
            </w:r>
            <w:r w:rsidRPr="00987D11">
              <w:t>h CPC Construction, Plumbing and Services Training Package Release 5.0.</w:t>
            </w:r>
          </w:p>
          <w:p w:rsidR="00000000" w:rsidRPr="00987D11" w:rsidP="00987D11">
            <w:pPr>
              <w:pStyle w:val="BodyText"/>
            </w:pPr>
            <w:r w:rsidRPr="00987D11">
              <w:t>Supersedes and is equivalent to CPCPCM4014A Prepare simple sketches and drawings.  Updated to meet the Standards for Training Packages 2012.</w:t>
            </w:r>
          </w:p>
        </w:tc>
      </w:tr>
    </w:tbl>
    <w:p w:rsidR="00000000" w:rsidRPr="00987D11" w:rsidP="00987D11">
      <w:pPr>
        <w:pStyle w:val="BodyText"/>
      </w:pPr>
    </w:p>
    <w:p w:rsidR="00000000" w:rsidRPr="00987D11" w:rsidP="00987D11">
      <w:pPr>
        <w:pStyle w:val="AllowPageBreak"/>
      </w:pPr>
    </w:p>
    <w:p w:rsidR="00000000" w:rsidRPr="00987D11" w:rsidP="00987D11">
      <w:pPr>
        <w:pStyle w:val="Heading1"/>
      </w:pPr>
      <w:bookmarkStart w:id="10" w:name="O_1159789"/>
      <w:bookmarkEnd w:id="10"/>
      <w:r w:rsidRPr="00987D11">
        <w:t>Performance Evidence</w:t>
      </w:r>
    </w:p>
    <w:p w:rsidR="00000000" w:rsidRPr="00987D11" w:rsidP="00CF0AFB">
      <w:pPr>
        <w:pStyle w:val="BodyText"/>
      </w:pPr>
      <w:r w:rsidRPr="00987D11">
        <w:t>T</w:t>
      </w:r>
      <w:r w:rsidRPr="00987D11">
        <w:t xml:space="preserve">o demonstrate competency, a candidate must meet the performance criteria for this unit by: </w:t>
      </w:r>
    </w:p>
    <w:p w:rsidR="00000000" w:rsidRPr="00987D11" w:rsidP="00987D11">
      <w:pPr>
        <w:pStyle w:val="ListBullet"/>
      </w:pPr>
      <w:r w:rsidRPr="00987D11">
        <w:t>producing three drawings for plumbing services work from any of the following:</w:t>
      </w:r>
    </w:p>
    <w:p w:rsidR="00000000" w:rsidRPr="00987D11" w:rsidP="00987D11">
      <w:pPr>
        <w:pStyle w:val="ListBullet2"/>
      </w:pPr>
      <w:r w:rsidRPr="00987D11">
        <w:t>a sanitary plumbing installation</w:t>
      </w:r>
    </w:p>
    <w:p w:rsidR="00000000" w:rsidRPr="00987D11" w:rsidP="00987D11">
      <w:pPr>
        <w:pStyle w:val="ListBullet2"/>
      </w:pPr>
      <w:r w:rsidRPr="00987D11">
        <w:t>a sanitary drainage installation</w:t>
      </w:r>
    </w:p>
    <w:p w:rsidR="00000000" w:rsidRPr="00987D11" w:rsidP="00987D11">
      <w:pPr>
        <w:pStyle w:val="ListBullet2"/>
      </w:pPr>
      <w:r w:rsidRPr="00987D11">
        <w:t>a mechanical services installation</w:t>
      </w:r>
    </w:p>
    <w:p w:rsidR="00000000" w:rsidRPr="00987D11" w:rsidP="00987D11">
      <w:pPr>
        <w:pStyle w:val="ListBullet2"/>
      </w:pPr>
      <w:r w:rsidRPr="00987D11">
        <w:t>a gas installation</w:t>
      </w:r>
    </w:p>
    <w:p w:rsidR="00000000" w:rsidRPr="00987D11" w:rsidP="00987D11">
      <w:pPr>
        <w:pStyle w:val="ListBullet2"/>
      </w:pPr>
      <w:r w:rsidRPr="00987D11">
        <w:t>a roofing installation</w:t>
      </w:r>
    </w:p>
    <w:p w:rsidR="00000000" w:rsidRPr="00987D11" w:rsidP="00987D11">
      <w:pPr>
        <w:pStyle w:val="ListBullet2"/>
      </w:pPr>
      <w:r w:rsidRPr="00987D11">
        <w:t>a fire services installation</w:t>
      </w:r>
    </w:p>
    <w:p w:rsidR="00000000" w:rsidRPr="00987D11" w:rsidP="00987D11">
      <w:pPr>
        <w:pStyle w:val="ListBullet2"/>
      </w:pPr>
      <w:r w:rsidRPr="00987D11">
        <w:t>a water services installation.</w:t>
      </w:r>
    </w:p>
    <w:p w:rsidR="00000000" w:rsidRPr="00987D11" w:rsidP="00CF0AFB">
      <w:pPr>
        <w:pStyle w:val="BodyText"/>
      </w:pPr>
      <w:r w:rsidRPr="00987D11">
        <w:t>The drawings must:</w:t>
      </w:r>
    </w:p>
    <w:p w:rsidR="00000000" w:rsidRPr="00987D11" w:rsidP="00987D11">
      <w:pPr>
        <w:pStyle w:val="ListBullet"/>
      </w:pPr>
      <w:r w:rsidRPr="00987D11">
        <w:t>include 2D plan, schematic or isometric, and sectional drawings</w:t>
      </w:r>
    </w:p>
    <w:p w:rsidR="00000000" w:rsidRPr="00987D11" w:rsidP="00987D11">
      <w:pPr>
        <w:pStyle w:val="ListBullet"/>
      </w:pPr>
      <w:r w:rsidRPr="00987D11">
        <w:t>be presented clearly with appropria</w:t>
      </w:r>
      <w:r w:rsidRPr="00987D11">
        <w:t>te notations and labelling.</w:t>
      </w:r>
    </w:p>
    <w:p w:rsidR="00000000" w:rsidRPr="00987D11" w:rsidP="00987D11">
      <w:pPr>
        <w:pStyle w:val="AllowPageBreak"/>
      </w:pPr>
    </w:p>
    <w:p w:rsidR="00000000" w:rsidRPr="00987D11" w:rsidP="00987D11">
      <w:pPr>
        <w:pStyle w:val="Heading1"/>
      </w:pPr>
      <w:bookmarkStart w:id="11" w:name="O_1159788"/>
      <w:bookmarkEnd w:id="11"/>
      <w:r w:rsidRPr="00987D11">
        <w:t>Knowledge Evidence</w:t>
      </w:r>
    </w:p>
    <w:p w:rsidR="00000000" w:rsidRPr="00987D11" w:rsidP="00CF0AFB">
      <w:pPr>
        <w:pStyle w:val="BodyText"/>
      </w:pPr>
      <w:r w:rsidRPr="00987D11">
        <w:t>To be competent in this unit, a candidate must demonstrate knowledge of:</w:t>
      </w:r>
    </w:p>
    <w:p w:rsidR="00000000" w:rsidRPr="00987D11" w:rsidP="00987D11">
      <w:pPr>
        <w:pStyle w:val="ListBullet"/>
      </w:pPr>
      <w:r w:rsidRPr="00987D11">
        <w:t>drawing conventions and features, including direction, scale, key, contours, symbols and abbreviations</w:t>
      </w:r>
    </w:p>
    <w:p w:rsidR="00000000" w:rsidRPr="00987D11" w:rsidP="00987D11">
      <w:pPr>
        <w:pStyle w:val="ListBullet"/>
      </w:pPr>
      <w:r w:rsidRPr="00987D11">
        <w:t>drawing techniques</w:t>
      </w:r>
    </w:p>
    <w:p w:rsidR="00000000" w:rsidRPr="00987D11" w:rsidP="00987D11">
      <w:pPr>
        <w:pStyle w:val="ListBullet"/>
      </w:pPr>
      <w:r w:rsidRPr="00987D11">
        <w:t>types of drawings required:</w:t>
      </w:r>
    </w:p>
    <w:p w:rsidR="00000000" w:rsidRPr="00987D11" w:rsidP="00987D11">
      <w:pPr>
        <w:pStyle w:val="ListBullet2"/>
      </w:pPr>
      <w:r w:rsidRPr="00987D11">
        <w:t>floor plans</w:t>
      </w:r>
    </w:p>
    <w:p w:rsidR="00000000" w:rsidRPr="00987D11" w:rsidP="00987D11">
      <w:pPr>
        <w:pStyle w:val="ListBullet2"/>
      </w:pPr>
      <w:r w:rsidRPr="00987D11">
        <w:t>land boundaries and footprint of building</w:t>
      </w:r>
    </w:p>
    <w:p w:rsidR="00000000" w:rsidRPr="00987D11" w:rsidP="00987D11">
      <w:pPr>
        <w:pStyle w:val="ListBullet2"/>
      </w:pPr>
      <w:r w:rsidRPr="00987D11">
        <w:t>schematic drawings of pipework</w:t>
      </w:r>
    </w:p>
    <w:p w:rsidR="00000000" w:rsidRPr="00987D11" w:rsidP="00987D11">
      <w:pPr>
        <w:pStyle w:val="ListBullet2"/>
      </w:pPr>
      <w:r w:rsidRPr="00987D11">
        <w:t xml:space="preserve">sectional </w:t>
      </w:r>
    </w:p>
    <w:p w:rsidR="00000000" w:rsidRPr="00987D11" w:rsidP="00987D11">
      <w:pPr>
        <w:pStyle w:val="ListBullet2"/>
      </w:pPr>
      <w:r w:rsidRPr="00987D11">
        <w:t>isometric</w:t>
      </w:r>
    </w:p>
    <w:p w:rsidR="00000000" w:rsidRPr="00987D11" w:rsidP="00987D11">
      <w:pPr>
        <w:pStyle w:val="ListBullet"/>
      </w:pPr>
      <w:r w:rsidRPr="00987D11">
        <w:t>how to access relevant information, including codes and standards</w:t>
      </w:r>
    </w:p>
    <w:p w:rsidR="00000000" w:rsidRPr="00987D11" w:rsidP="00987D11">
      <w:pPr>
        <w:pStyle w:val="ListBullet"/>
      </w:pPr>
      <w:r w:rsidRPr="00987D11">
        <w:t>tools, materials and equipment used</w:t>
      </w:r>
      <w:r w:rsidRPr="00987D11">
        <w:t xml:space="preserve"> for creating drawings</w:t>
      </w:r>
    </w:p>
    <w:p w:rsidR="00000000" w:rsidRPr="00987D11" w:rsidP="00987D11">
      <w:pPr>
        <w:pStyle w:val="ListBullet"/>
      </w:pPr>
      <w:r w:rsidRPr="00987D11">
        <w:t>work health and safety (WHS) requirements where measurements are to be taken and recorded.</w:t>
      </w:r>
    </w:p>
    <w:p w:rsidR="00000000" w:rsidRPr="00987D11" w:rsidP="00987D11">
      <w:pPr>
        <w:pStyle w:val="AllowPageBreak"/>
      </w:pPr>
    </w:p>
    <w:p w:rsidR="00000000" w:rsidRPr="00987D11" w:rsidP="00987D11">
      <w:pPr>
        <w:pStyle w:val="Heading1"/>
      </w:pPr>
      <w:bookmarkStart w:id="12" w:name="O_1159787"/>
      <w:bookmarkEnd w:id="12"/>
      <w:r w:rsidRPr="00987D11">
        <w:t>Assessment Conditions</w:t>
      </w:r>
    </w:p>
    <w:p w:rsidR="00000000" w:rsidRPr="00987D11" w:rsidP="00CF0AFB">
      <w:pPr>
        <w:pStyle w:val="BodyText"/>
      </w:pPr>
      <w:r w:rsidRPr="00987D11">
        <w:t xml:space="preserve">Assessors must satisfy the requirements for assessors listed in the Standards for Registered Training Organisations. </w:t>
      </w:r>
    </w:p>
    <w:p w:rsidR="00000000" w:rsidRPr="00987D11" w:rsidP="00CF0AFB">
      <w:pPr>
        <w:pStyle w:val="BodyText"/>
      </w:pPr>
      <w:r w:rsidRPr="00987D11">
        <w:t>This unit must be assessed in the workplace or a close simulation using realistic workplace conditions, materials, activities, responsibil</w:t>
      </w:r>
      <w:r w:rsidRPr="00987D11">
        <w:t>ities, procedures, safety requirements and environmental considerations.</w:t>
      </w:r>
    </w:p>
    <w:p w:rsidR="00000000" w:rsidRPr="00987D11" w:rsidP="00987D11">
      <w:pPr>
        <w:pStyle w:val="Heading1"/>
      </w:pPr>
      <w:bookmarkStart w:id="13" w:name="O_1159800"/>
      <w:bookmarkEnd w:id="13"/>
      <w:r w:rsidRPr="00987D11">
        <w:t>Links</w:t>
      </w:r>
    </w:p>
    <w:p w:rsidR="00000000" w:rsidRPr="00987D11" w:rsidP="00CF0AFB">
      <w:pPr>
        <w:pStyle w:val="BodyText"/>
      </w:pPr>
      <w:r w:rsidRPr="00987D1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337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87D11" w:rsidP="00987D11"/>
    <w:sectPr w:rsidSect="00987D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11" w:rsidRPr="00CF0AFB" w:rsidP="00CF0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AFB" w:rsidP="00987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0AFB" w:rsidP="00987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F0AFB" w:rsidP="00987D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11" w:rsidP="00987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0AFB">
      <w:t>Approved</w:t>
    </w:r>
    <w:r w:rsidR="00CF0A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0A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0AFB">
      <w:rPr>
        <w:noProof/>
      </w:rPr>
      <w:t>4</w:t>
    </w:r>
    <w:r>
      <w:rPr>
        <w:noProof/>
      </w:rPr>
      <w:fldChar w:fldCharType="end"/>
    </w:r>
  </w:p>
  <w:p w:rsidR="00987D11" w:rsidP="00987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0A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0AFB">
      <w:t>BuildSkills Australia</w:t>
    </w:r>
    <w:r w:rsidR="00CF0AFB">
      <w:fldChar w:fldCharType="end"/>
    </w:r>
  </w:p>
  <w:p w:rsidR="00987D11" w:rsidP="00987D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D11" w:rsidRPr="00CF0AFB" w:rsidP="00CF0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AFB" w:rsidRPr="002D2AF8" w:rsidP="00987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CPCPCM3024 Prepare simple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F0AFB" w:rsidP="00987D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11" w:rsidRPr="002D2AF8" w:rsidP="00987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0AFB">
      <w:t>CPCPCM3024 Prepare simple drawings</w:t>
    </w:r>
    <w:r w:rsidR="00CF0A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0AFB">
      <w:rPr>
        <w:noProof/>
      </w:rPr>
      <w:t>1 March 2025</w:t>
    </w:r>
    <w:r>
      <w:fldChar w:fldCharType="end"/>
    </w:r>
  </w:p>
  <w:p w:rsidR="00987D11" w:rsidP="00987D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2E8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E04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E89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D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D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D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D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D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D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D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D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D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D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D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D11"/>
  </w:style>
  <w:style w:type="character" w:customStyle="1" w:styleId="Heading1Char">
    <w:name w:val="Heading 1 Char"/>
    <w:basedOn w:val="DefaultParagraphFont"/>
    <w:link w:val="Heading1"/>
    <w:rsid w:val="00987D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D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D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D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7D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D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D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D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D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D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D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D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D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D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D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D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D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D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D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D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D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D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D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D11"/>
    <w:rPr>
      <w:b/>
      <w:spacing w:val="0"/>
    </w:rPr>
  </w:style>
  <w:style w:type="paragraph" w:customStyle="1" w:styleId="SuperTitle">
    <w:name w:val="SuperTitle"/>
    <w:basedOn w:val="Title"/>
    <w:rsid w:val="00987D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D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D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D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D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D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D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D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D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D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D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D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D11"/>
    <w:rPr>
      <w:i/>
    </w:rPr>
  </w:style>
  <w:style w:type="paragraph" w:styleId="Caption">
    <w:name w:val="caption"/>
    <w:basedOn w:val="BodyText"/>
    <w:next w:val="Normal"/>
    <w:qFormat/>
    <w:rsid w:val="00987D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D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D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D11"/>
  </w:style>
  <w:style w:type="paragraph" w:styleId="TableofFigures">
    <w:name w:val="table of figures"/>
    <w:basedOn w:val="Normal"/>
    <w:next w:val="Normal"/>
    <w:semiHidden/>
    <w:rsid w:val="00987D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D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D11"/>
    <w:rPr>
      <w:rFonts w:ascii="Wingdings" w:hAnsi="Wingdings"/>
    </w:rPr>
  </w:style>
  <w:style w:type="paragraph" w:customStyle="1" w:styleId="TableHeading">
    <w:name w:val="Table Heading"/>
    <w:basedOn w:val="HeadingBase"/>
    <w:rsid w:val="00987D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D11"/>
    <w:rPr>
      <w:color w:val="0033CC"/>
      <w:u w:val="none"/>
    </w:rPr>
  </w:style>
  <w:style w:type="paragraph" w:customStyle="1" w:styleId="BodyTextRight">
    <w:name w:val="Body Text Right"/>
    <w:basedOn w:val="BodyText"/>
    <w:rsid w:val="00987D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D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D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D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D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D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D11"/>
    <w:rPr>
      <w:sz w:val="32"/>
    </w:rPr>
  </w:style>
  <w:style w:type="paragraph" w:customStyle="1" w:styleId="HeadingProcedure">
    <w:name w:val="Heading Procedure"/>
    <w:basedOn w:val="HeadingBase"/>
    <w:next w:val="Normal"/>
    <w:rsid w:val="00987D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D11"/>
    <w:pPr>
      <w:spacing w:before="60" w:after="60"/>
    </w:pPr>
  </w:style>
  <w:style w:type="paragraph" w:styleId="ListContinue">
    <w:name w:val="List Continue"/>
    <w:basedOn w:val="List"/>
    <w:rsid w:val="00987D11"/>
    <w:pPr>
      <w:ind w:firstLine="0"/>
    </w:pPr>
  </w:style>
  <w:style w:type="paragraph" w:customStyle="1" w:styleId="ListNote">
    <w:name w:val="List Note"/>
    <w:basedOn w:val="List"/>
    <w:rsid w:val="00987D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D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D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D11"/>
    <w:rPr>
      <w:rFonts w:ascii="Courier New" w:hAnsi="Courier New"/>
    </w:rPr>
  </w:style>
  <w:style w:type="paragraph" w:customStyle="1" w:styleId="NoteBullet">
    <w:name w:val="Note Bullet"/>
    <w:basedOn w:val="Note"/>
    <w:rsid w:val="00987D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D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D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D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D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D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D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D11"/>
    <w:rPr>
      <w:b/>
      <w:smallCaps/>
    </w:rPr>
  </w:style>
  <w:style w:type="paragraph" w:customStyle="1" w:styleId="TableListNumber">
    <w:name w:val="Table List Number"/>
    <w:basedOn w:val="ListNumber"/>
    <w:rsid w:val="00987D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D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D11"/>
    <w:pPr>
      <w:numPr>
        <w:numId w:val="9"/>
      </w:numPr>
    </w:pPr>
  </w:style>
  <w:style w:type="paragraph" w:customStyle="1" w:styleId="ListAlpha2">
    <w:name w:val="List Alpha 2"/>
    <w:basedOn w:val="List2"/>
    <w:rsid w:val="00987D11"/>
    <w:pPr>
      <w:numPr>
        <w:numId w:val="8"/>
      </w:numPr>
    </w:pPr>
  </w:style>
  <w:style w:type="paragraph" w:styleId="List2">
    <w:name w:val="List 2"/>
    <w:basedOn w:val="BodyText"/>
    <w:rsid w:val="00987D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D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D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D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D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D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D11"/>
    <w:pPr>
      <w:numPr>
        <w:numId w:val="4"/>
      </w:numPr>
    </w:pPr>
  </w:style>
  <w:style w:type="paragraph" w:styleId="ListContinue2">
    <w:name w:val="List Continue 2"/>
    <w:basedOn w:val="List2"/>
    <w:rsid w:val="00987D11"/>
    <w:pPr>
      <w:ind w:firstLine="0"/>
    </w:pPr>
  </w:style>
  <w:style w:type="paragraph" w:styleId="ListContinue3">
    <w:name w:val="List Continue 3"/>
    <w:basedOn w:val="List3"/>
    <w:rsid w:val="00987D11"/>
    <w:pPr>
      <w:ind w:left="1021" w:firstLine="0"/>
    </w:pPr>
  </w:style>
  <w:style w:type="paragraph" w:styleId="ListContinue4">
    <w:name w:val="List Continue 4"/>
    <w:basedOn w:val="List4"/>
    <w:rsid w:val="00987D11"/>
    <w:pPr>
      <w:ind w:firstLine="0"/>
    </w:pPr>
  </w:style>
  <w:style w:type="paragraph" w:styleId="ListContinue5">
    <w:name w:val="List Continue 5"/>
    <w:basedOn w:val="List5"/>
    <w:rsid w:val="00987D11"/>
    <w:pPr>
      <w:ind w:firstLine="0"/>
    </w:pPr>
  </w:style>
  <w:style w:type="paragraph" w:styleId="ListNumber3">
    <w:name w:val="List Number 3"/>
    <w:basedOn w:val="List3"/>
    <w:rsid w:val="00987D11"/>
    <w:pPr>
      <w:numPr>
        <w:numId w:val="5"/>
      </w:numPr>
    </w:pPr>
  </w:style>
  <w:style w:type="paragraph" w:styleId="ListNumber4">
    <w:name w:val="List Number 4"/>
    <w:basedOn w:val="List4"/>
    <w:rsid w:val="00987D11"/>
    <w:pPr>
      <w:numPr>
        <w:numId w:val="6"/>
      </w:numPr>
    </w:pPr>
  </w:style>
  <w:style w:type="paragraph" w:styleId="ListNumber5">
    <w:name w:val="List Number 5"/>
    <w:basedOn w:val="List5"/>
    <w:rsid w:val="00987D11"/>
    <w:pPr>
      <w:numPr>
        <w:numId w:val="7"/>
      </w:numPr>
    </w:pPr>
  </w:style>
  <w:style w:type="paragraph" w:styleId="BlockText">
    <w:name w:val="Block Text"/>
    <w:basedOn w:val="Normal"/>
    <w:rsid w:val="00987D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D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D11"/>
    <w:rPr>
      <w:sz w:val="16"/>
      <w:vertAlign w:val="superscript"/>
    </w:rPr>
  </w:style>
  <w:style w:type="character" w:customStyle="1" w:styleId="Symbols">
    <w:name w:val="Symbols"/>
    <w:basedOn w:val="DefaultParagraphFont"/>
    <w:rsid w:val="00987D11"/>
    <w:rPr>
      <w:rFonts w:ascii="Symbol" w:hAnsi="Symbol"/>
    </w:rPr>
  </w:style>
  <w:style w:type="character" w:customStyle="1" w:styleId="MenuOptions">
    <w:name w:val="Menu Options"/>
    <w:basedOn w:val="DefaultParagraphFont"/>
    <w:rsid w:val="00987D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D11"/>
    <w:rPr>
      <w:b/>
    </w:rPr>
  </w:style>
  <w:style w:type="character" w:customStyle="1" w:styleId="Underlined">
    <w:name w:val="Underlined"/>
    <w:basedOn w:val="DefaultParagraphFont"/>
    <w:rsid w:val="00987D11"/>
    <w:rPr>
      <w:u w:val="single"/>
    </w:rPr>
  </w:style>
  <w:style w:type="paragraph" w:customStyle="1" w:styleId="TableBodyTextRight">
    <w:name w:val="Table Body Text Right"/>
    <w:basedOn w:val="TableBodyText"/>
    <w:rsid w:val="00987D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D11"/>
    <w:rPr>
      <w:sz w:val="18"/>
    </w:rPr>
  </w:style>
  <w:style w:type="paragraph" w:customStyle="1" w:styleId="BodySmallRight">
    <w:name w:val="Body Small Right"/>
    <w:basedOn w:val="BodyTextRight"/>
    <w:rsid w:val="00987D11"/>
    <w:rPr>
      <w:sz w:val="18"/>
      <w:szCs w:val="18"/>
    </w:rPr>
  </w:style>
  <w:style w:type="paragraph" w:customStyle="1" w:styleId="MarginEdition">
    <w:name w:val="Margin Edition"/>
    <w:basedOn w:val="MarginNote"/>
    <w:rsid w:val="00987D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D11"/>
    <w:rPr>
      <w:sz w:val="2"/>
      <w:szCs w:val="2"/>
    </w:rPr>
  </w:style>
  <w:style w:type="character" w:customStyle="1" w:styleId="Small">
    <w:name w:val="Small"/>
    <w:basedOn w:val="DefaultParagraphFont"/>
    <w:rsid w:val="00987D11"/>
    <w:rPr>
      <w:sz w:val="16"/>
    </w:rPr>
  </w:style>
  <w:style w:type="paragraph" w:customStyle="1" w:styleId="WideTable">
    <w:name w:val="Wide Table"/>
    <w:basedOn w:val="Normal"/>
    <w:rsid w:val="00987D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D11"/>
  </w:style>
  <w:style w:type="paragraph" w:styleId="Quote">
    <w:name w:val="Quote"/>
    <w:basedOn w:val="Heading1"/>
    <w:link w:val="QuoteChar"/>
    <w:qFormat/>
    <w:rsid w:val="00987D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D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D11"/>
    <w:pPr>
      <w:pageBreakBefore/>
    </w:pPr>
  </w:style>
  <w:style w:type="paragraph" w:customStyle="1" w:styleId="Border">
    <w:name w:val="Border"/>
    <w:basedOn w:val="Normal"/>
    <w:qFormat/>
    <w:rsid w:val="00987D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D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D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D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D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D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D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D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D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D11"/>
    <w:rPr>
      <w:u w:val="single"/>
    </w:rPr>
  </w:style>
  <w:style w:type="character" w:customStyle="1" w:styleId="BoldandItalics">
    <w:name w:val="Bold and Italics"/>
    <w:qFormat/>
    <w:rsid w:val="00987D11"/>
    <w:rPr>
      <w:b/>
      <w:i/>
      <w:u w:val="none"/>
    </w:rPr>
  </w:style>
  <w:style w:type="paragraph" w:styleId="BalloonText">
    <w:name w:val="Balloon Text"/>
    <w:basedOn w:val="Normal"/>
    <w:link w:val="BalloonTextChar"/>
    <w:rsid w:val="00987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D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D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D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D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D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D11"/>
    <w:pPr>
      <w:spacing w:before="0" w:after="0"/>
    </w:pPr>
  </w:style>
  <w:style w:type="paragraph" w:customStyle="1" w:styleId="BodyTextBold">
    <w:name w:val="Body Text Bold"/>
    <w:basedOn w:val="BodyText"/>
    <w:qFormat/>
    <w:rsid w:val="00987D11"/>
    <w:rPr>
      <w:b/>
    </w:rPr>
  </w:style>
  <w:style w:type="character" w:styleId="Hyperlink">
    <w:name w:val="Hyperlink"/>
    <w:basedOn w:val="DefaultParagraphFont"/>
    <w:uiPriority w:val="99"/>
    <w:unhideWhenUsed/>
    <w:rsid w:val="00CF0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3939</Characters>
  <Application>Microsoft Office Word</Application>
  <DocSecurity>0</DocSecurity>
  <Lines>145</Lines>
  <Paragraphs>98</Paragraphs>
  <ScaleCrop>false</ScaleCrop>
  <Company>Author-it Software Corporation Ltd.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CPCPCM3024 Prepare simple drawings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