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270C" w:rsidP="006327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CPCCWP5004 Determine origin of water and moisture ingress into buildings</w:t>
      </w:r>
      <w:r>
        <w:fldChar w:fldCharType="end"/>
      </w:r>
    </w:p>
    <w:p w:rsidR="0063270C" w:rsidP="0063270C">
      <w:pPr>
        <w:pStyle w:val="Version"/>
        <w:sectPr w:rsidSect="003F4C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4C72" w:rsidP="003F4C72">
      <w:pPr>
        <w:pStyle w:val="SuperHeading"/>
      </w:pPr>
      <w:r w:rsidRPr="003F4C72">
        <w:t>CPCCWP5004 Determine origin of water and moisture ingress into buildings</w:t>
      </w:r>
    </w:p>
    <w:p w:rsidR="00000000" w:rsidRPr="003F4C72" w:rsidP="003F4C72">
      <w:pPr>
        <w:pStyle w:val="Heading1"/>
      </w:pPr>
      <w:bookmarkStart w:id="1" w:name="O_1260471"/>
      <w:bookmarkEnd w:id="1"/>
      <w:r w:rsidRPr="003F4C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3F4C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C72" w:rsidP="003F4C72">
            <w:pPr>
              <w:pStyle w:val="BodyText"/>
            </w:pPr>
            <w:r w:rsidRPr="003F4C72">
              <w:t>This version first released with CPC Construction, Plumbing and Services Training Package Release 9.0.</w:t>
            </w:r>
          </w:p>
          <w:p w:rsidR="00000000" w:rsidRPr="003F4C72" w:rsidP="003F4C72">
            <w:pPr>
              <w:pStyle w:val="BodyText"/>
            </w:pPr>
            <w:r w:rsidRPr="003F4C72">
              <w:t>Newly created unit.</w:t>
            </w:r>
          </w:p>
        </w:tc>
      </w:tr>
    </w:tbl>
    <w:p w:rsidR="00000000" w:rsidRPr="003F4C72" w:rsidP="003F4C72">
      <w:pPr>
        <w:pStyle w:val="BodyText"/>
      </w:pPr>
    </w:p>
    <w:p w:rsidR="00000000" w:rsidRPr="003F4C72" w:rsidP="003F4C72">
      <w:pPr>
        <w:pStyle w:val="AllowPageBreak"/>
      </w:pPr>
    </w:p>
    <w:p w:rsidR="00000000" w:rsidRPr="003F4C72" w:rsidP="003F4C72">
      <w:pPr>
        <w:pStyle w:val="Heading1"/>
      </w:pPr>
      <w:bookmarkStart w:id="2" w:name="O_1260479"/>
      <w:bookmarkEnd w:id="2"/>
      <w:r w:rsidRPr="003F4C72">
        <w:t>Application</w:t>
      </w:r>
    </w:p>
    <w:p w:rsidR="00000000" w:rsidRPr="003F4C72" w:rsidP="0063270C">
      <w:pPr>
        <w:pStyle w:val="BodyText"/>
      </w:pPr>
      <w:r w:rsidRPr="003F4C72">
        <w:t xml:space="preserve">This unit of competency specifies the skills and knowledge required to determine the origin of water and moisture ingress into buildings. </w:t>
      </w:r>
    </w:p>
    <w:p w:rsidR="00000000" w:rsidRPr="003F4C72" w:rsidP="0063270C">
      <w:pPr>
        <w:pStyle w:val="BodyText"/>
      </w:pPr>
      <w:r w:rsidRPr="003F4C72">
        <w:t>The unit applies to Class 1 and 10 Buildings, and Class 2 to 9 Buildings.</w:t>
      </w:r>
    </w:p>
    <w:p w:rsidR="00000000" w:rsidRPr="003F4C72" w:rsidP="0063270C">
      <w:pPr>
        <w:pStyle w:val="BodyText"/>
      </w:pPr>
      <w:r w:rsidRPr="003F4C72">
        <w:t>The unit cove</w:t>
      </w:r>
      <w:r w:rsidRPr="003F4C72">
        <w:t xml:space="preserve">rs gathering information, carrying out the investigation, carrying out the analysis and reporting on findings and conclusions. </w:t>
      </w:r>
    </w:p>
    <w:p w:rsidR="00000000" w:rsidRPr="003F4C72" w:rsidP="0063270C">
      <w:pPr>
        <w:pStyle w:val="BodyText"/>
      </w:pPr>
      <w:r w:rsidRPr="003F4C72">
        <w:t>The unit is suitable for builders, building supervisors building surveyors, building designers, architects, waterproofing design</w:t>
      </w:r>
      <w:r w:rsidRPr="003F4C72">
        <w:t xml:space="preserve"> specialists, waterproofing supervisors, and consultants, engineers or other design specialists. </w:t>
      </w:r>
    </w:p>
    <w:p w:rsidR="00000000" w:rsidRPr="003F4C72" w:rsidP="0063270C">
      <w:pPr>
        <w:pStyle w:val="BodyText"/>
      </w:pPr>
      <w:r w:rsidRPr="003F4C72">
        <w:t xml:space="preserve">Licensing, legislative, regulatory or certification requirements may apply to this unit. Relevant work health and safety (WHS) state and territory regulatory </w:t>
      </w:r>
      <w:r w:rsidRPr="003F4C72">
        <w:t>authorities should be consulted to confirm jurisdictional requirements.</w:t>
      </w:r>
    </w:p>
    <w:p w:rsidR="00000000" w:rsidRPr="003F4C72" w:rsidP="003F4C72">
      <w:pPr>
        <w:pStyle w:val="Heading1"/>
      </w:pPr>
      <w:bookmarkStart w:id="3" w:name="O_1260478"/>
      <w:bookmarkEnd w:id="3"/>
      <w:r w:rsidRPr="003F4C72">
        <w:t>Pre-requisite Unit</w:t>
      </w:r>
    </w:p>
    <w:p w:rsidR="00000000" w:rsidRPr="003F4C72" w:rsidP="0063270C">
      <w:pPr>
        <w:pStyle w:val="BodyText"/>
      </w:pPr>
      <w:r w:rsidRPr="003F4C72">
        <w:t>CPCWHS1001 Prepare to work safely in the construction industry</w:t>
      </w:r>
    </w:p>
    <w:p w:rsidR="00000000" w:rsidRPr="003F4C72" w:rsidP="003F4C72">
      <w:pPr>
        <w:pStyle w:val="Heading1"/>
      </w:pPr>
      <w:bookmarkStart w:id="4" w:name="O_1260477"/>
      <w:bookmarkEnd w:id="4"/>
      <w:r w:rsidRPr="003F4C72">
        <w:t>Unit Sector</w:t>
      </w:r>
    </w:p>
    <w:p w:rsidR="00000000" w:rsidRPr="003F4C72" w:rsidP="0063270C">
      <w:pPr>
        <w:pStyle w:val="BodyText"/>
      </w:pPr>
      <w:r w:rsidRPr="003F4C72">
        <w:t>Building and Construction</w:t>
      </w:r>
    </w:p>
    <w:p w:rsidR="00000000" w:rsidRPr="003F4C72" w:rsidP="003F4C72">
      <w:pPr>
        <w:pStyle w:val="Heading1"/>
      </w:pPr>
      <w:bookmarkStart w:id="5" w:name="O_1260475"/>
      <w:bookmarkEnd w:id="5"/>
      <w:r w:rsidRPr="003F4C7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F4C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>Performance criteria describe what needs to be done to demonstrate achievement of the element.</w:t>
            </w:r>
          </w:p>
        </w:tc>
      </w:tr>
      <w:tr w:rsidTr="003F4C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>1.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>Gather information.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>Identify areas of water ingress in consultation with s</w:t>
            </w:r>
            <w:r w:rsidRPr="003F4C72">
              <w:t>takeholder(s).</w:t>
            </w:r>
          </w:p>
        </w:tc>
      </w:tr>
      <w:tr w:rsidTr="003F4C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 xml:space="preserve">Gather relevant drawings, historical reports, design or structural specifications and certification where available. </w:t>
            </w:r>
          </w:p>
        </w:tc>
      </w:tr>
      <w:tr w:rsidTr="003F4C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>Identify signs and symptoms of the water or moisture ingress.</w:t>
            </w:r>
          </w:p>
        </w:tc>
      </w:tr>
      <w:tr w:rsidTr="003F4C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>Confirm scope of project based on information and evidence.</w:t>
            </w:r>
          </w:p>
        </w:tc>
      </w:tr>
      <w:tr w:rsidTr="003F4C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</w:p>
        </w:tc>
      </w:tr>
      <w:tr w:rsidTr="003F4C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>2.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>Carry out investigation.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 xml:space="preserve">Identify potential water and moisture ingress points into buildings. </w:t>
            </w:r>
          </w:p>
        </w:tc>
      </w:tr>
      <w:tr w:rsidTr="003F4C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>Determine if non-destructive or destructive investigation is required in consultation with stakeholders.</w:t>
            </w:r>
          </w:p>
        </w:tc>
      </w:tr>
      <w:tr w:rsidTr="003F4C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>Select tools and technologies to carry out inspections and testing procedures in accordance with site conditions.</w:t>
            </w:r>
          </w:p>
        </w:tc>
      </w:tr>
      <w:tr w:rsidTr="003F4C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>Carry out inspection an</w:t>
            </w:r>
            <w:r w:rsidRPr="003F4C72">
              <w:t>d testing using valid testing methods in accordance with testing protocols and against controls and references.</w:t>
            </w:r>
          </w:p>
        </w:tc>
      </w:tr>
      <w:tr w:rsidTr="003F4C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>Record findings of investigation and testing protocols.</w:t>
            </w:r>
          </w:p>
        </w:tc>
      </w:tr>
      <w:tr w:rsidTr="003F4C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>Compare findings to information and evidence of water and moistu</w:t>
            </w:r>
            <w:r w:rsidRPr="003F4C72">
              <w:t>re ingress areas and carry out further investigations where required.</w:t>
            </w:r>
          </w:p>
        </w:tc>
      </w:tr>
      <w:tr w:rsidTr="003F4C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</w:p>
        </w:tc>
      </w:tr>
      <w:tr w:rsidTr="003F4C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>3.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>Carry out analysis.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>Collate evidence from investigations and testing in accordance with protocols.</w:t>
            </w:r>
          </w:p>
        </w:tc>
      </w:tr>
      <w:tr w:rsidTr="003F4C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 xml:space="preserve">Analyse causes of water and moisture ingress as determined by investigations and collected evidence. </w:t>
            </w:r>
          </w:p>
        </w:tc>
      </w:tr>
      <w:tr w:rsidTr="003F4C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>Determine if external factors have influenced the findings.</w:t>
            </w:r>
          </w:p>
        </w:tc>
      </w:tr>
      <w:tr w:rsidTr="003F4C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>Carry out re-testing to confirm influence of external factors where required.</w:t>
            </w:r>
          </w:p>
        </w:tc>
      </w:tr>
      <w:tr w:rsidTr="003F4C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 xml:space="preserve">Record results of analysis for stakeholders in accordance </w:t>
            </w:r>
            <w:r w:rsidRPr="003F4C72">
              <w:t>with evidence to inform report.</w:t>
            </w:r>
          </w:p>
        </w:tc>
      </w:tr>
      <w:tr w:rsidTr="003F4C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</w:p>
        </w:tc>
      </w:tr>
      <w:tr w:rsidTr="003F4C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>4.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>Report findings and conclusions.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>Collate, sort and prioritise information according to the scope requirements within a report.</w:t>
            </w:r>
          </w:p>
        </w:tc>
      </w:tr>
      <w:tr w:rsidTr="003F4C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>Support diagnostic report findings with relevant references to regulatory requirements, Australian Standards, design and manufacturers’ requirements in accordance with stakeholder brief.</w:t>
            </w:r>
          </w:p>
        </w:tc>
      </w:tr>
      <w:tr w:rsidTr="003F4C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>Determine requirements for further support testing, follow-up investigations and monitoring of area in accordance with inspection and testing protocols.</w:t>
            </w:r>
          </w:p>
        </w:tc>
      </w:tr>
      <w:tr w:rsidTr="003F4C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>Communicate relevant and supported conclusions according to stakeholder expectations, context an</w:t>
            </w:r>
            <w:r w:rsidRPr="003F4C72">
              <w:t>d requirements in accordance with report brief.</w:t>
            </w:r>
          </w:p>
        </w:tc>
      </w:tr>
      <w:tr w:rsidTr="003F4C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C72">
            <w:pPr>
              <w:pStyle w:val="BodyText"/>
              <w:rPr>
                <w:lang w:val="en-NZ"/>
              </w:rPr>
            </w:pPr>
            <w:r w:rsidRPr="003F4C72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C72" w:rsidP="003F4C72">
            <w:pPr>
              <w:pStyle w:val="BodyText"/>
            </w:pPr>
            <w:r w:rsidRPr="003F4C72">
              <w:t>Document the report in accordance with report brief.</w:t>
            </w:r>
          </w:p>
        </w:tc>
      </w:tr>
    </w:tbl>
    <w:p w:rsidR="00000000" w:rsidRPr="003F4C72" w:rsidP="003F4C72">
      <w:pPr>
        <w:pStyle w:val="BodyText"/>
      </w:pPr>
    </w:p>
    <w:p w:rsidR="00000000" w:rsidRPr="003F4C72" w:rsidP="003F4C72">
      <w:pPr>
        <w:pStyle w:val="AllowPageBreak"/>
      </w:pPr>
    </w:p>
    <w:p w:rsidR="00000000" w:rsidRPr="003F4C72" w:rsidP="003F4C72">
      <w:pPr>
        <w:pStyle w:val="Heading1"/>
      </w:pPr>
      <w:bookmarkStart w:id="6" w:name="O_1260474"/>
      <w:bookmarkEnd w:id="6"/>
      <w:r w:rsidRPr="003F4C72">
        <w:t>Foundation Skills</w:t>
      </w:r>
    </w:p>
    <w:p w:rsidR="00000000" w:rsidRPr="003F4C72" w:rsidP="0063270C">
      <w:pPr>
        <w:pStyle w:val="BodyText"/>
      </w:pPr>
      <w:r w:rsidRPr="003F4C72">
        <w:t>Foundation skills essential to performance are explicit in the performance criteria of this unit of competenc</w:t>
      </w:r>
      <w:r w:rsidRPr="003F4C72">
        <w:t xml:space="preserve">y. </w:t>
      </w:r>
    </w:p>
    <w:p w:rsidR="00000000" w:rsidRPr="003F4C72" w:rsidP="003F4C72">
      <w:pPr>
        <w:pStyle w:val="Heading1"/>
      </w:pPr>
      <w:bookmarkStart w:id="7" w:name="O_1260473"/>
      <w:bookmarkEnd w:id="7"/>
      <w:r w:rsidRPr="003F4C72">
        <w:t>Unit Mapping Information</w:t>
      </w:r>
    </w:p>
    <w:p w:rsidR="00000000" w:rsidRPr="003F4C72" w:rsidP="0063270C">
      <w:pPr>
        <w:pStyle w:val="BodyText"/>
      </w:pPr>
      <w:r w:rsidRPr="003F4C72">
        <w:t>No equivalent unit.</w:t>
      </w:r>
    </w:p>
    <w:p w:rsidR="00000000" w:rsidRPr="003F4C72" w:rsidP="003F4C72">
      <w:pPr>
        <w:pStyle w:val="Heading1"/>
      </w:pPr>
      <w:bookmarkStart w:id="8" w:name="O_1260460"/>
      <w:bookmarkEnd w:id="8"/>
      <w:r w:rsidRPr="003F4C72">
        <w:t>Links</w:t>
      </w:r>
    </w:p>
    <w:p w:rsidR="00000000" w:rsidRPr="003F4C72" w:rsidP="0063270C">
      <w:pPr>
        <w:pStyle w:val="BodyText"/>
      </w:pPr>
      <w:r w:rsidRPr="003F4C7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1083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F4C72" w:rsidP="003F4C72"/>
    <w:sectPr w:rsidSect="003F4C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C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C72" w:rsidRPr="0063270C" w:rsidP="006327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C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70C" w:rsidP="003F4C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270C" w:rsidP="003F4C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3270C" w:rsidP="003F4C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C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7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4C72" w:rsidRPr="0063270C" w:rsidP="006327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C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70C" w:rsidRPr="002D2AF8" w:rsidP="003F4C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CPCCWP5004 Determine origin of water and moisture ingress into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3270C" w:rsidP="003F4C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C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4C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4C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4C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4C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4C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4C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4C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4C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4C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4C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4C72"/>
  </w:style>
  <w:style w:type="character" w:customStyle="1" w:styleId="Heading1Char">
    <w:name w:val="Heading 1 Char"/>
    <w:basedOn w:val="DefaultParagraphFont"/>
    <w:link w:val="Heading1"/>
    <w:rsid w:val="003F4C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4C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4C7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F4C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4C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4C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4C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4C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4C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4C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4C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4C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4C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4C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4C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4C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4C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4C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4C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4C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4C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4C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4C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4C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4C7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F4C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4C72"/>
    <w:rPr>
      <w:b/>
      <w:spacing w:val="0"/>
    </w:rPr>
  </w:style>
  <w:style w:type="paragraph" w:customStyle="1" w:styleId="SuperTitle">
    <w:name w:val="SuperTitle"/>
    <w:basedOn w:val="Title"/>
    <w:rsid w:val="003F4C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4C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4C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4C7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4C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4C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4C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4C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4C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4C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4C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4C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4C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4C72"/>
    <w:rPr>
      <w:i/>
    </w:rPr>
  </w:style>
  <w:style w:type="paragraph" w:styleId="Caption">
    <w:name w:val="caption"/>
    <w:basedOn w:val="BodyText"/>
    <w:next w:val="Normal"/>
    <w:qFormat/>
    <w:rsid w:val="003F4C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4C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4C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4C72"/>
  </w:style>
  <w:style w:type="paragraph" w:styleId="TableofFigures">
    <w:name w:val="table of figures"/>
    <w:basedOn w:val="Normal"/>
    <w:next w:val="Normal"/>
    <w:semiHidden/>
    <w:rsid w:val="003F4C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4C7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F4C72"/>
    <w:rPr>
      <w:rFonts w:ascii="Wingdings" w:hAnsi="Wingdings"/>
    </w:rPr>
  </w:style>
  <w:style w:type="paragraph" w:customStyle="1" w:styleId="TableHeading">
    <w:name w:val="Table Heading"/>
    <w:basedOn w:val="HeadingBase"/>
    <w:rsid w:val="003F4C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4C72"/>
    <w:rPr>
      <w:color w:val="0033CC"/>
      <w:u w:val="none"/>
    </w:rPr>
  </w:style>
  <w:style w:type="paragraph" w:customStyle="1" w:styleId="BodyTextRight">
    <w:name w:val="Body Text Right"/>
    <w:basedOn w:val="BodyText"/>
    <w:rsid w:val="003F4C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4C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4C7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4C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4C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4C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4C72"/>
    <w:rPr>
      <w:sz w:val="32"/>
    </w:rPr>
  </w:style>
  <w:style w:type="paragraph" w:customStyle="1" w:styleId="HeadingProcedure">
    <w:name w:val="Heading Procedure"/>
    <w:basedOn w:val="HeadingBase"/>
    <w:next w:val="Normal"/>
    <w:rsid w:val="003F4C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4C72"/>
    <w:pPr>
      <w:spacing w:before="60" w:after="60"/>
    </w:pPr>
  </w:style>
  <w:style w:type="paragraph" w:styleId="ListContinue">
    <w:name w:val="List Continue"/>
    <w:basedOn w:val="List"/>
    <w:rsid w:val="003F4C72"/>
    <w:pPr>
      <w:ind w:firstLine="0"/>
    </w:pPr>
  </w:style>
  <w:style w:type="paragraph" w:customStyle="1" w:styleId="ListNote">
    <w:name w:val="List Note"/>
    <w:basedOn w:val="List"/>
    <w:rsid w:val="003F4C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4C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4C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4C72"/>
    <w:rPr>
      <w:rFonts w:ascii="Courier New" w:hAnsi="Courier New"/>
    </w:rPr>
  </w:style>
  <w:style w:type="paragraph" w:customStyle="1" w:styleId="NoteBullet">
    <w:name w:val="Note Bullet"/>
    <w:basedOn w:val="Note"/>
    <w:rsid w:val="003F4C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4C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4C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4C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4C7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F4C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4C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4C72"/>
    <w:rPr>
      <w:b/>
      <w:smallCaps/>
    </w:rPr>
  </w:style>
  <w:style w:type="paragraph" w:customStyle="1" w:styleId="TableListNumber">
    <w:name w:val="Table List Number"/>
    <w:basedOn w:val="ListNumber"/>
    <w:rsid w:val="003F4C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4C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4C72"/>
    <w:pPr>
      <w:numPr>
        <w:numId w:val="7"/>
      </w:numPr>
    </w:pPr>
  </w:style>
  <w:style w:type="paragraph" w:customStyle="1" w:styleId="ListAlpha2">
    <w:name w:val="List Alpha 2"/>
    <w:basedOn w:val="List2"/>
    <w:rsid w:val="003F4C72"/>
    <w:pPr>
      <w:numPr>
        <w:numId w:val="6"/>
      </w:numPr>
    </w:pPr>
  </w:style>
  <w:style w:type="paragraph" w:styleId="List2">
    <w:name w:val="List 2"/>
    <w:basedOn w:val="BodyText"/>
    <w:rsid w:val="003F4C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4C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4C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4C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4C7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4C7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F4C72"/>
    <w:pPr>
      <w:numPr>
        <w:numId w:val="2"/>
      </w:numPr>
    </w:pPr>
  </w:style>
  <w:style w:type="paragraph" w:styleId="ListContinue2">
    <w:name w:val="List Continue 2"/>
    <w:basedOn w:val="List2"/>
    <w:rsid w:val="003F4C72"/>
    <w:pPr>
      <w:ind w:firstLine="0"/>
    </w:pPr>
  </w:style>
  <w:style w:type="paragraph" w:styleId="ListContinue3">
    <w:name w:val="List Continue 3"/>
    <w:basedOn w:val="List3"/>
    <w:rsid w:val="003F4C72"/>
    <w:pPr>
      <w:ind w:left="1021" w:firstLine="0"/>
    </w:pPr>
  </w:style>
  <w:style w:type="paragraph" w:styleId="ListContinue4">
    <w:name w:val="List Continue 4"/>
    <w:basedOn w:val="List4"/>
    <w:rsid w:val="003F4C72"/>
    <w:pPr>
      <w:ind w:firstLine="0"/>
    </w:pPr>
  </w:style>
  <w:style w:type="paragraph" w:styleId="ListContinue5">
    <w:name w:val="List Continue 5"/>
    <w:basedOn w:val="List5"/>
    <w:rsid w:val="003F4C72"/>
    <w:pPr>
      <w:ind w:firstLine="0"/>
    </w:pPr>
  </w:style>
  <w:style w:type="paragraph" w:styleId="ListNumber3">
    <w:name w:val="List Number 3"/>
    <w:basedOn w:val="List3"/>
    <w:rsid w:val="003F4C72"/>
    <w:pPr>
      <w:numPr>
        <w:numId w:val="3"/>
      </w:numPr>
    </w:pPr>
  </w:style>
  <w:style w:type="paragraph" w:styleId="ListNumber4">
    <w:name w:val="List Number 4"/>
    <w:basedOn w:val="List4"/>
    <w:rsid w:val="003F4C72"/>
    <w:pPr>
      <w:numPr>
        <w:numId w:val="4"/>
      </w:numPr>
    </w:pPr>
  </w:style>
  <w:style w:type="paragraph" w:styleId="ListNumber5">
    <w:name w:val="List Number 5"/>
    <w:basedOn w:val="List5"/>
    <w:rsid w:val="003F4C72"/>
    <w:pPr>
      <w:numPr>
        <w:numId w:val="5"/>
      </w:numPr>
    </w:pPr>
  </w:style>
  <w:style w:type="paragraph" w:styleId="BlockText">
    <w:name w:val="Block Text"/>
    <w:basedOn w:val="Normal"/>
    <w:rsid w:val="003F4C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4C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4C72"/>
    <w:rPr>
      <w:sz w:val="16"/>
      <w:vertAlign w:val="superscript"/>
    </w:rPr>
  </w:style>
  <w:style w:type="character" w:customStyle="1" w:styleId="Symbols">
    <w:name w:val="Symbols"/>
    <w:basedOn w:val="DefaultParagraphFont"/>
    <w:rsid w:val="003F4C72"/>
    <w:rPr>
      <w:rFonts w:ascii="Symbol" w:hAnsi="Symbol"/>
    </w:rPr>
  </w:style>
  <w:style w:type="character" w:customStyle="1" w:styleId="MenuOptions">
    <w:name w:val="Menu Options"/>
    <w:basedOn w:val="DefaultParagraphFont"/>
    <w:rsid w:val="003F4C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4C72"/>
    <w:rPr>
      <w:b/>
    </w:rPr>
  </w:style>
  <w:style w:type="character" w:customStyle="1" w:styleId="Underlined">
    <w:name w:val="Underlined"/>
    <w:basedOn w:val="DefaultParagraphFont"/>
    <w:rsid w:val="003F4C72"/>
    <w:rPr>
      <w:u w:val="single"/>
    </w:rPr>
  </w:style>
  <w:style w:type="paragraph" w:customStyle="1" w:styleId="TableBodyTextRight">
    <w:name w:val="Table Body Text Right"/>
    <w:basedOn w:val="TableBodyText"/>
    <w:rsid w:val="003F4C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4C72"/>
    <w:rPr>
      <w:sz w:val="18"/>
    </w:rPr>
  </w:style>
  <w:style w:type="paragraph" w:customStyle="1" w:styleId="BodySmallRight">
    <w:name w:val="Body Small Right"/>
    <w:basedOn w:val="BodyTextRight"/>
    <w:rsid w:val="003F4C72"/>
    <w:rPr>
      <w:sz w:val="18"/>
      <w:szCs w:val="18"/>
    </w:rPr>
  </w:style>
  <w:style w:type="paragraph" w:customStyle="1" w:styleId="MarginEdition">
    <w:name w:val="Margin Edition"/>
    <w:basedOn w:val="MarginNote"/>
    <w:rsid w:val="003F4C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4C72"/>
    <w:rPr>
      <w:sz w:val="2"/>
      <w:szCs w:val="2"/>
    </w:rPr>
  </w:style>
  <w:style w:type="character" w:customStyle="1" w:styleId="Small">
    <w:name w:val="Small"/>
    <w:basedOn w:val="DefaultParagraphFont"/>
    <w:rsid w:val="003F4C72"/>
    <w:rPr>
      <w:sz w:val="16"/>
    </w:rPr>
  </w:style>
  <w:style w:type="paragraph" w:customStyle="1" w:styleId="WideTable">
    <w:name w:val="Wide Table"/>
    <w:basedOn w:val="Normal"/>
    <w:rsid w:val="003F4C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4C72"/>
  </w:style>
  <w:style w:type="paragraph" w:styleId="Quote">
    <w:name w:val="Quote"/>
    <w:basedOn w:val="Heading1"/>
    <w:link w:val="QuoteChar"/>
    <w:qFormat/>
    <w:rsid w:val="003F4C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4C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4C72"/>
    <w:pPr>
      <w:pageBreakBefore/>
    </w:pPr>
  </w:style>
  <w:style w:type="paragraph" w:customStyle="1" w:styleId="Border">
    <w:name w:val="Border"/>
    <w:basedOn w:val="Normal"/>
    <w:qFormat/>
    <w:rsid w:val="003F4C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4C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C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C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4C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4C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4C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4C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4C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4C72"/>
    <w:rPr>
      <w:u w:val="single"/>
    </w:rPr>
  </w:style>
  <w:style w:type="character" w:customStyle="1" w:styleId="BoldandItalics">
    <w:name w:val="Bold and Italics"/>
    <w:qFormat/>
    <w:rsid w:val="003F4C72"/>
    <w:rPr>
      <w:b/>
      <w:i/>
      <w:u w:val="none"/>
    </w:rPr>
  </w:style>
  <w:style w:type="paragraph" w:styleId="BalloonText">
    <w:name w:val="Balloon Text"/>
    <w:basedOn w:val="Normal"/>
    <w:link w:val="BalloonTextChar"/>
    <w:rsid w:val="003F4C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4C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4C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4C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4C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4C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4C72"/>
    <w:pPr>
      <w:spacing w:before="0" w:after="0"/>
    </w:pPr>
  </w:style>
  <w:style w:type="paragraph" w:customStyle="1" w:styleId="BodyTextBold">
    <w:name w:val="Body Text Bold"/>
    <w:basedOn w:val="BodyText"/>
    <w:qFormat/>
    <w:rsid w:val="003F4C72"/>
    <w:rPr>
      <w:b/>
    </w:rPr>
  </w:style>
  <w:style w:type="character" w:styleId="Hyperlink">
    <w:name w:val="Hyperlink"/>
    <w:basedOn w:val="DefaultParagraphFont"/>
    <w:uiPriority w:val="99"/>
    <w:unhideWhenUsed/>
    <w:rsid w:val="006327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556</Words>
  <Characters>3604</Characters>
  <Application>Microsoft Office Word</Application>
  <DocSecurity>0</DocSecurity>
  <Lines>171</Lines>
  <Paragraphs>90</Paragraphs>
  <ScaleCrop>false</ScaleCrop>
  <Company>Author-it Software Corporation Ltd.</Company>
  <LinksUpToDate>false</LinksUpToDate>
  <CharactersWithSpaces>4070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CPCCWP5004 Determine origin of water and moisture ingress into buildings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2024-12-24T01:19:00Z</dcterms:created>
  <dcterms:modified xsi:type="dcterms:W3CDTF">2024-12-24T01:19:00Z</dcterms:modified>
</cp:coreProperties>
</file>