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50E" w:rsidP="00374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CPCCWP5004 Determine origin of water and moisture ingress into buildings</w:t>
      </w:r>
      <w:r>
        <w:fldChar w:fldCharType="end"/>
      </w:r>
    </w:p>
    <w:p w:rsidR="0037450E" w:rsidP="0037450E">
      <w:pPr>
        <w:pStyle w:val="Version"/>
        <w:sectPr w:rsidSect="00467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C95" w:rsidP="00467C95">
      <w:pPr>
        <w:pStyle w:val="SuperHeading"/>
      </w:pPr>
      <w:r w:rsidRPr="00467C95">
        <w:t>CPCCWP5004 Determine origin of water and moisture ingress into buildings</w:t>
      </w:r>
    </w:p>
    <w:p w:rsidR="00000000" w:rsidRPr="00467C95" w:rsidP="00467C95">
      <w:pPr>
        <w:pStyle w:val="Heading1"/>
      </w:pPr>
      <w:bookmarkStart w:id="1" w:name="O_1260471"/>
      <w:bookmarkEnd w:id="1"/>
      <w:r w:rsidRPr="00467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95" w:rsidP="00467C95">
            <w:pPr>
              <w:pStyle w:val="BodyText"/>
            </w:pPr>
            <w:r w:rsidRPr="00467C95">
              <w:t>This version first released with CPC Construction, Plumbing and Services Training Package Release 9.0.</w:t>
            </w:r>
          </w:p>
          <w:p w:rsidR="00000000" w:rsidRPr="00467C95" w:rsidP="00467C95">
            <w:pPr>
              <w:pStyle w:val="BodyText"/>
            </w:pPr>
            <w:r w:rsidRPr="00467C95">
              <w:t>Newly created unit.</w:t>
            </w:r>
          </w:p>
        </w:tc>
      </w:tr>
    </w:tbl>
    <w:p w:rsidR="00000000" w:rsidRPr="00467C95" w:rsidP="00467C95">
      <w:pPr>
        <w:pStyle w:val="BodyText"/>
      </w:pP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2" w:name="O_1260479"/>
      <w:bookmarkEnd w:id="2"/>
      <w:r w:rsidRPr="00467C95">
        <w:t>Application</w:t>
      </w:r>
    </w:p>
    <w:p w:rsidR="00000000" w:rsidRPr="00467C95" w:rsidP="0037450E">
      <w:pPr>
        <w:pStyle w:val="BodyText"/>
      </w:pPr>
      <w:r w:rsidRPr="00467C95">
        <w:t xml:space="preserve">This unit of competency specifies the skills and knowledge required to determine the origin of water and moisture ingress into buildings. </w:t>
      </w:r>
    </w:p>
    <w:p w:rsidR="00000000" w:rsidRPr="00467C95" w:rsidP="0037450E">
      <w:pPr>
        <w:pStyle w:val="BodyText"/>
      </w:pPr>
      <w:r w:rsidRPr="00467C95">
        <w:t>The unit applies to Class 1 and 10 Buildings, and Class 2 to 9 Buildings.</w:t>
      </w:r>
    </w:p>
    <w:p w:rsidR="00000000" w:rsidRPr="00467C95" w:rsidP="0037450E">
      <w:pPr>
        <w:pStyle w:val="BodyText"/>
      </w:pPr>
      <w:r w:rsidRPr="00467C95">
        <w:t>The unit cove</w:t>
      </w:r>
      <w:r w:rsidRPr="00467C95">
        <w:t xml:space="preserve">rs gathering information, carrying out the investigation, carrying out the analysis and reporting on findings and conclusions. </w:t>
      </w:r>
    </w:p>
    <w:p w:rsidR="00000000" w:rsidRPr="00467C95" w:rsidP="0037450E">
      <w:pPr>
        <w:pStyle w:val="BodyText"/>
      </w:pPr>
      <w:r w:rsidRPr="00467C95">
        <w:t>The unit is suitable for builders, building supervisors building surveyors, building designers, architects, waterproofing design</w:t>
      </w:r>
      <w:r w:rsidRPr="00467C95">
        <w:t xml:space="preserve"> specialists, waterproofing supervisors, and consultants, engineers or other design specialists. </w:t>
      </w:r>
    </w:p>
    <w:p w:rsidR="00000000" w:rsidRPr="00467C95" w:rsidP="0037450E">
      <w:pPr>
        <w:pStyle w:val="BodyText"/>
      </w:pPr>
      <w:r w:rsidRPr="00467C95">
        <w:t xml:space="preserve">Licensing, legislative, regulatory or certification requirements may apply to this unit. Relevant work health and safety (WHS) state and territory regulatory </w:t>
      </w:r>
      <w:r w:rsidRPr="00467C95">
        <w:t>authorities should be consulted to confirm jurisdictional requirements.</w:t>
      </w:r>
    </w:p>
    <w:p w:rsidR="00000000" w:rsidRPr="00467C95" w:rsidP="00467C95">
      <w:pPr>
        <w:pStyle w:val="Heading1"/>
      </w:pPr>
      <w:bookmarkStart w:id="3" w:name="O_1260478"/>
      <w:bookmarkEnd w:id="3"/>
      <w:r w:rsidRPr="00467C95">
        <w:t>Pre-requisite Unit</w:t>
      </w:r>
    </w:p>
    <w:p w:rsidR="00000000" w:rsidRPr="00467C95" w:rsidP="0037450E">
      <w:pPr>
        <w:pStyle w:val="BodyText"/>
      </w:pPr>
      <w:r w:rsidRPr="00467C95">
        <w:t>CPCWHS1001 Prepare to work safely in the construction industry</w:t>
      </w:r>
    </w:p>
    <w:p w:rsidR="00000000" w:rsidRPr="00467C95" w:rsidP="00467C95">
      <w:pPr>
        <w:pStyle w:val="Heading1"/>
      </w:pPr>
      <w:bookmarkStart w:id="4" w:name="O_1260477"/>
      <w:bookmarkEnd w:id="4"/>
      <w:r w:rsidRPr="00467C95">
        <w:t>Unit Sector</w:t>
      </w:r>
    </w:p>
    <w:p w:rsidR="00000000" w:rsidRPr="00467C95" w:rsidP="0037450E">
      <w:pPr>
        <w:pStyle w:val="BodyText"/>
      </w:pPr>
      <w:r w:rsidRPr="00467C95">
        <w:t>Building and Construction</w:t>
      </w:r>
    </w:p>
    <w:p w:rsidR="00000000" w:rsidRPr="00467C95" w:rsidP="00467C95">
      <w:pPr>
        <w:pStyle w:val="Heading1"/>
      </w:pPr>
      <w:bookmarkStart w:id="5" w:name="O_1260475"/>
      <w:bookmarkEnd w:id="5"/>
      <w:r w:rsidRPr="00467C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Performance criteria describe what needs to be done to demonstrate achievement of the element.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Gather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Identify areas of water ingress in consultation with s</w:t>
            </w:r>
            <w:r w:rsidRPr="00467C95">
              <w:t>takeholder(s).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 xml:space="preserve">Gather relevant drawings, historical reports, design or structural specifications and certification where available. 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Identify signs and symptoms of the water or moisture ingress.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Confirm scope of project based on information and evidence.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Carry out investigation.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 xml:space="preserve">Identify potential water and moisture ingress points into buildings. 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Determine if non-destructive or destructive investigation is required in consultation with stakeholders.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Select tools and technologies to carry out inspections and testing procedures in accordance with site conditions.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Carry out inspection an</w:t>
            </w:r>
            <w:r w:rsidRPr="00467C95">
              <w:t>d testing using valid testing methods in accordance with testing protocols and against controls and references.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Record findings of investigation and testing protocols.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Compare findings to information and evidence of water and moisture ingress areas and carry out further investigations where required.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Carry out analysis.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Collate evidence from investigations and testing in accordance with protocols.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 xml:space="preserve">Analyse causes of water and moisture ingress as determined by investigations and collected evidence. 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Determine if external factors have influenced the findings.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Carry out re-testing to confirm influence of external factors where required.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 xml:space="preserve">Record results of analysis for stakeholders in accordance </w:t>
            </w:r>
            <w:r w:rsidRPr="00467C95">
              <w:t>with evidence to inform report.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Report findings and conclusions.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Collate, sort and prioritise information according to the scope requirements within a report.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Support diagnostic report findings with relevant references to regulatory requirements, Australian Standards, design and manufacturers’ requirements in accordance with stakeholder brief.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Deter</w:t>
            </w:r>
            <w:r w:rsidRPr="00467C95">
              <w:t>mine requirements for further support testing, follow-up investigations and monitoring of area in accordance with inspection and testing protocols.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Communicate relevant and supported conclusions according to stakeholder expectations, context and req</w:t>
            </w:r>
            <w:r w:rsidRPr="00467C95">
              <w:t>uirements in accordance with report brief.</w:t>
            </w:r>
          </w:p>
        </w:tc>
      </w:tr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95" w:rsidP="00467C95">
            <w:pPr>
              <w:pStyle w:val="BodyText"/>
            </w:pPr>
            <w:r w:rsidRPr="00467C95">
              <w:t>Document the report in accordance with report brief.</w:t>
            </w:r>
          </w:p>
        </w:tc>
      </w:tr>
    </w:tbl>
    <w:p w:rsidR="00000000" w:rsidRPr="00467C95" w:rsidP="00467C95">
      <w:pPr>
        <w:pStyle w:val="BodyText"/>
      </w:pP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6" w:name="O_1260474"/>
      <w:bookmarkEnd w:id="6"/>
      <w:r w:rsidRPr="00467C95">
        <w:t>Foundation Skills</w:t>
      </w:r>
    </w:p>
    <w:p w:rsidR="00000000" w:rsidRPr="00467C95" w:rsidP="0037450E">
      <w:pPr>
        <w:pStyle w:val="BodyText"/>
      </w:pPr>
      <w:r w:rsidRPr="00467C95">
        <w:t xml:space="preserve">Foundation skills essential to performance are explicit in the performance criteria of this unit of competency. </w:t>
      </w:r>
    </w:p>
    <w:p w:rsidR="00000000" w:rsidRPr="00467C95" w:rsidP="00467C95">
      <w:pPr>
        <w:pStyle w:val="Heading1"/>
      </w:pPr>
      <w:bookmarkStart w:id="7" w:name="O_1260473"/>
      <w:bookmarkEnd w:id="7"/>
      <w:r w:rsidRPr="00467C95">
        <w:t>Unit Mapping Information</w:t>
      </w:r>
    </w:p>
    <w:p w:rsidR="00000000" w:rsidRPr="00467C95" w:rsidP="0037450E">
      <w:pPr>
        <w:pStyle w:val="BodyText"/>
      </w:pPr>
      <w:r w:rsidRPr="00467C95">
        <w:t>No equivalent unit.</w:t>
      </w:r>
    </w:p>
    <w:p w:rsidR="00000000" w:rsidRPr="00467C95" w:rsidP="00467C95">
      <w:pPr>
        <w:pStyle w:val="Heading1"/>
      </w:pPr>
      <w:bookmarkStart w:id="8" w:name="O_1260460"/>
      <w:bookmarkEnd w:id="8"/>
      <w:r w:rsidRPr="00467C95">
        <w:t>Links</w:t>
      </w:r>
    </w:p>
    <w:p w:rsidR="00000000" w:rsidRPr="00467C95" w:rsidP="0037450E">
      <w:pPr>
        <w:pStyle w:val="BodyText"/>
      </w:pPr>
      <w:r w:rsidRPr="00467C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42E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67C95" w:rsidP="0037450E">
      <w:pPr>
        <w:pStyle w:val="BodyText"/>
        <w:sectPr w:rsidSect="00467C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7C95" w:rsidP="00467C95">
      <w:pPr>
        <w:pStyle w:val="SuperHeading"/>
      </w:pPr>
      <w:r w:rsidRPr="00467C95">
        <w:t>Assessment Requirements for CPCCWP5004 Determine origin of water and moisture ingress into buildings</w:t>
      </w:r>
    </w:p>
    <w:p w:rsidR="00000000" w:rsidRPr="00467C95" w:rsidP="00467C95">
      <w:pPr>
        <w:pStyle w:val="Heading1"/>
      </w:pPr>
      <w:bookmarkStart w:id="9" w:name="O_1260464"/>
      <w:bookmarkEnd w:id="9"/>
      <w:r w:rsidRPr="00467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67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C95">
            <w:pPr>
              <w:pStyle w:val="BodyText"/>
              <w:rPr>
                <w:lang w:val="en-NZ"/>
              </w:rPr>
            </w:pPr>
            <w:r w:rsidRPr="00467C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C95" w:rsidP="00467C95">
            <w:pPr>
              <w:pStyle w:val="BodyText"/>
            </w:pPr>
            <w:r w:rsidRPr="00467C95">
              <w:t>This version first released with CPC Construction, Plumbing</w:t>
            </w:r>
            <w:r w:rsidRPr="00467C95">
              <w:t xml:space="preserve"> and Services Training Package Release 9.0.</w:t>
            </w:r>
          </w:p>
          <w:p w:rsidR="00000000" w:rsidRPr="00467C95" w:rsidP="00467C95">
            <w:pPr>
              <w:pStyle w:val="BodyText"/>
            </w:pPr>
            <w:r w:rsidRPr="00467C95">
              <w:t>Newly created unit.</w:t>
            </w:r>
          </w:p>
        </w:tc>
      </w:tr>
    </w:tbl>
    <w:p w:rsidR="00000000" w:rsidRPr="00467C95" w:rsidP="00467C95">
      <w:pPr>
        <w:pStyle w:val="BodyText"/>
      </w:pP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10" w:name="O_1260469"/>
      <w:bookmarkEnd w:id="10"/>
      <w:r w:rsidRPr="00467C95">
        <w:t>Performance Evidence</w:t>
      </w:r>
    </w:p>
    <w:p w:rsidR="00000000" w:rsidRPr="00467C95" w:rsidP="0037450E">
      <w:pPr>
        <w:pStyle w:val="BodyText"/>
      </w:pPr>
      <w:r w:rsidRPr="00467C95">
        <w:t>A person demonstrating competency in this unit must satisfy the requirements of the elements, performance criteria and foundation skills of this unit,</w:t>
      </w:r>
      <w:r w:rsidRPr="00467C95">
        <w:t xml:space="preserve"> in addition to the specific performance and knowledge evidence described below.</w:t>
      </w:r>
    </w:p>
    <w:p w:rsidR="00000000" w:rsidRPr="00467C95" w:rsidP="0037450E">
      <w:pPr>
        <w:pStyle w:val="BodyText"/>
      </w:pPr>
      <w:r w:rsidRPr="00467C95">
        <w:t>Candidates must conduct three (3) water and moisture ingress investigations and develop diagnostic reports for three (3) different areas, chosen from list provided:</w:t>
      </w:r>
    </w:p>
    <w:p w:rsidR="00000000" w:rsidRPr="00467C95" w:rsidP="00467C95">
      <w:pPr>
        <w:pStyle w:val="ListBullet"/>
      </w:pPr>
      <w:r w:rsidRPr="00467C95">
        <w:t>one investigation and report from an internal wet area which includes a shower</w:t>
      </w:r>
    </w:p>
    <w:p w:rsidR="00000000" w:rsidRPr="00467C95" w:rsidP="00467C95">
      <w:pPr>
        <w:pStyle w:val="ListBullet"/>
      </w:pPr>
      <w:r w:rsidRPr="00467C95">
        <w:t xml:space="preserve">one investigation and report of water ingress through: </w:t>
      </w:r>
    </w:p>
    <w:p w:rsidR="00000000" w:rsidRPr="00467C95" w:rsidP="00467C95">
      <w:pPr>
        <w:pStyle w:val="ListBullet2"/>
      </w:pPr>
      <w:r w:rsidRPr="00467C95">
        <w:t>an external wall, adjacent to a waterproofed balcony or deck; OR</w:t>
      </w:r>
    </w:p>
    <w:p w:rsidR="00000000" w:rsidRPr="00467C95" w:rsidP="00467C95">
      <w:pPr>
        <w:pStyle w:val="ListBullet2"/>
      </w:pPr>
      <w:r w:rsidRPr="00467C95">
        <w:t>water ingress below a concrete roof terrace</w:t>
      </w:r>
    </w:p>
    <w:p w:rsidR="00000000" w:rsidRPr="00467C95" w:rsidP="00467C95">
      <w:pPr>
        <w:pStyle w:val="ListBullet"/>
      </w:pPr>
      <w:r w:rsidRPr="00467C95">
        <w:t>one invest</w:t>
      </w:r>
      <w:r w:rsidRPr="00467C95">
        <w:t>igation and report of water ingress below a waterproofed, lightweight, flat roof structure or balcony</w:t>
      </w:r>
    </w:p>
    <w:p w:rsidR="00000000" w:rsidRPr="00467C95" w:rsidP="00467C95">
      <w:pPr>
        <w:pStyle w:val="ListBullet"/>
      </w:pPr>
      <w:r w:rsidRPr="00467C95">
        <w:t>one investigation and report of water ingress to habitable space below ground.</w:t>
      </w:r>
    </w:p>
    <w:p w:rsidR="00000000" w:rsidRPr="00467C95" w:rsidP="0037450E">
      <w:pPr>
        <w:pStyle w:val="BodyText"/>
      </w:pPr>
      <w:r w:rsidRPr="00467C95">
        <w:t>In doing so, the diagnosis and evidence reports must be written in such a w</w:t>
      </w:r>
      <w:r w:rsidRPr="00467C95">
        <w:t>ay as to inform a remedial waterproofing design and scope of works and must include:</w:t>
      </w:r>
    </w:p>
    <w:p w:rsidR="00000000" w:rsidRPr="00467C95" w:rsidP="00467C95">
      <w:pPr>
        <w:pStyle w:val="ListBullet2"/>
      </w:pPr>
      <w:r w:rsidRPr="00467C95">
        <w:t>all relevant background information</w:t>
      </w:r>
    </w:p>
    <w:p w:rsidR="00000000" w:rsidRPr="00467C95" w:rsidP="00467C95">
      <w:pPr>
        <w:pStyle w:val="ListBullet2"/>
      </w:pPr>
      <w:r w:rsidRPr="00467C95">
        <w:t>investigation methodology</w:t>
      </w:r>
    </w:p>
    <w:p w:rsidR="00000000" w:rsidRPr="00467C95" w:rsidP="00467C95">
      <w:pPr>
        <w:pStyle w:val="ListBullet2"/>
      </w:pPr>
      <w:r w:rsidRPr="00467C95">
        <w:t>record of findings</w:t>
      </w:r>
    </w:p>
    <w:p w:rsidR="00000000" w:rsidRPr="00467C95" w:rsidP="00467C95">
      <w:pPr>
        <w:pStyle w:val="ListBullet2"/>
      </w:pPr>
      <w:r w:rsidRPr="00467C95">
        <w:t xml:space="preserve">identification of the cause(s) of the water and moisture ingress </w:t>
      </w:r>
    </w:p>
    <w:p w:rsidR="00000000" w:rsidRPr="00467C95" w:rsidP="00467C95">
      <w:pPr>
        <w:pStyle w:val="ListBullet2"/>
      </w:pPr>
      <w:r w:rsidRPr="00467C95">
        <w:t>review of evidence agai</w:t>
      </w:r>
      <w:r w:rsidRPr="00467C95">
        <w:t>nst site factors and influences</w:t>
      </w:r>
    </w:p>
    <w:p w:rsidR="00000000" w:rsidRPr="00467C95" w:rsidP="00467C95">
      <w:pPr>
        <w:pStyle w:val="ListBullet2"/>
      </w:pPr>
      <w:r w:rsidRPr="00467C95">
        <w:t>assessment of waterproofing design and application against compliance with National Construction Code (NCC) performance requirements, Australian Standards, manufacturers’ recommendations, building design and use of area.</w:t>
      </w: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11" w:name="O_1260467"/>
      <w:bookmarkEnd w:id="11"/>
      <w:r w:rsidRPr="00467C95">
        <w:t>Knowledge Evidence</w:t>
      </w:r>
    </w:p>
    <w:p w:rsidR="00000000" w:rsidRPr="00467C95" w:rsidP="0037450E">
      <w:pPr>
        <w:pStyle w:val="BodyText"/>
      </w:pPr>
      <w:r w:rsidRPr="00467C95">
        <w:t>To be competent in this unit, a candidate must demonstrate knowledge of:</w:t>
      </w:r>
    </w:p>
    <w:p w:rsidR="00000000" w:rsidRPr="00467C95" w:rsidP="00467C95">
      <w:pPr>
        <w:pStyle w:val="ListBullet"/>
      </w:pPr>
      <w:r w:rsidRPr="00467C95">
        <w:t>application of scientific methodology</w:t>
      </w:r>
    </w:p>
    <w:p w:rsidR="00000000" w:rsidRPr="00467C95" w:rsidP="00467C95">
      <w:pPr>
        <w:pStyle w:val="ListBullet"/>
      </w:pPr>
      <w:r w:rsidRPr="00467C95">
        <w:t>diagnostic procedures – non-destructive and destructive, including:</w:t>
      </w:r>
    </w:p>
    <w:p w:rsidR="00000000" w:rsidRPr="00467C95" w:rsidP="00467C95">
      <w:pPr>
        <w:pStyle w:val="ListBullet2"/>
      </w:pPr>
      <w:r w:rsidRPr="00467C95">
        <w:t xml:space="preserve">site investigation </w:t>
      </w:r>
    </w:p>
    <w:p w:rsidR="00000000" w:rsidRPr="00467C95" w:rsidP="00467C95">
      <w:pPr>
        <w:pStyle w:val="ListBullet2"/>
      </w:pPr>
      <w:r w:rsidRPr="00467C95">
        <w:t>inspecting protoco</w:t>
      </w:r>
      <w:r w:rsidRPr="00467C95">
        <w:t>ls</w:t>
      </w:r>
    </w:p>
    <w:p w:rsidR="00000000" w:rsidRPr="00467C95" w:rsidP="00467C95">
      <w:pPr>
        <w:pStyle w:val="ListBullet2"/>
      </w:pPr>
      <w:r w:rsidRPr="00467C95">
        <w:t>analysing evidence</w:t>
      </w:r>
    </w:p>
    <w:p w:rsidR="00000000" w:rsidRPr="00467C95" w:rsidP="00467C95">
      <w:pPr>
        <w:pStyle w:val="ListBullet2"/>
      </w:pPr>
      <w:r w:rsidRPr="00467C95">
        <w:t>suitable technologies:</w:t>
      </w:r>
    </w:p>
    <w:p w:rsidR="00000000" w:rsidRPr="00467C95" w:rsidP="00467C95">
      <w:pPr>
        <w:pStyle w:val="ListBullet3"/>
      </w:pPr>
      <w:r w:rsidRPr="00467C95">
        <w:t>thermal</w:t>
      </w:r>
    </w:p>
    <w:p w:rsidR="00000000" w:rsidRPr="00467C95" w:rsidP="00467C95">
      <w:pPr>
        <w:pStyle w:val="ListBullet3"/>
      </w:pPr>
      <w:r w:rsidRPr="00467C95">
        <w:t>microwave</w:t>
      </w:r>
    </w:p>
    <w:p w:rsidR="00000000" w:rsidRPr="00467C95" w:rsidP="00467C95">
      <w:pPr>
        <w:pStyle w:val="ListBullet3"/>
      </w:pPr>
      <w:r w:rsidRPr="00467C95">
        <w:t>ground penetrating radar (GPR)</w:t>
      </w:r>
    </w:p>
    <w:p w:rsidR="00000000" w:rsidRPr="00467C95" w:rsidP="00467C95">
      <w:pPr>
        <w:pStyle w:val="ListBullet3"/>
      </w:pPr>
      <w:r w:rsidRPr="00467C95">
        <w:t>dye water testing</w:t>
      </w:r>
    </w:p>
    <w:p w:rsidR="00000000" w:rsidRPr="00467C95" w:rsidP="00467C95">
      <w:pPr>
        <w:pStyle w:val="ListBullet3"/>
      </w:pPr>
      <w:r w:rsidRPr="00467C95">
        <w:t>impedance and capacitance technologies</w:t>
      </w:r>
    </w:p>
    <w:p w:rsidR="00000000" w:rsidRPr="00467C95" w:rsidP="00467C95">
      <w:pPr>
        <w:pStyle w:val="ListBullet3"/>
      </w:pPr>
      <w:r w:rsidRPr="00467C95">
        <w:t>electronic field vector mapping</w:t>
      </w:r>
    </w:p>
    <w:p w:rsidR="00000000" w:rsidRPr="00467C95" w:rsidP="00467C95">
      <w:pPr>
        <w:pStyle w:val="ListBullet3"/>
      </w:pPr>
      <w:r w:rsidRPr="00467C95">
        <w:t>high and low voltage holiday testing</w:t>
      </w:r>
    </w:p>
    <w:p w:rsidR="00000000" w:rsidRPr="00467C95" w:rsidP="00467C95">
      <w:pPr>
        <w:pStyle w:val="ListBullet"/>
      </w:pPr>
      <w:r w:rsidRPr="00467C95">
        <w:t xml:space="preserve">setting control parameters and testing methods, including: </w:t>
      </w:r>
    </w:p>
    <w:p w:rsidR="00000000" w:rsidRPr="00467C95" w:rsidP="00467C95">
      <w:pPr>
        <w:pStyle w:val="ListBullet2"/>
      </w:pPr>
      <w:r w:rsidRPr="00467C95">
        <w:t>selection of appropriate test method</w:t>
      </w:r>
    </w:p>
    <w:p w:rsidR="00000000" w:rsidRPr="00467C95" w:rsidP="00467C95">
      <w:pPr>
        <w:pStyle w:val="ListBullet2"/>
      </w:pPr>
      <w:r w:rsidRPr="00467C95">
        <w:t>calibration of testing equipment</w:t>
      </w:r>
    </w:p>
    <w:p w:rsidR="00000000" w:rsidRPr="00467C95" w:rsidP="00467C95">
      <w:pPr>
        <w:pStyle w:val="ListBullet2"/>
      </w:pPr>
      <w:r w:rsidRPr="00467C95">
        <w:t>effects on testing equipment by site conditions and testing procedures</w:t>
      </w:r>
    </w:p>
    <w:p w:rsidR="00000000" w:rsidRPr="00467C95" w:rsidP="00467C95">
      <w:pPr>
        <w:pStyle w:val="ListBullet"/>
      </w:pPr>
      <w:r w:rsidRPr="00467C95">
        <w:t>contributing site factors and influence, including:</w:t>
      </w:r>
    </w:p>
    <w:p w:rsidR="00000000" w:rsidRPr="00467C95" w:rsidP="00467C95">
      <w:pPr>
        <w:pStyle w:val="ListBullet2"/>
      </w:pPr>
      <w:r w:rsidRPr="00467C95">
        <w:t>water ingress sources</w:t>
      </w:r>
    </w:p>
    <w:p w:rsidR="00000000" w:rsidRPr="00467C95" w:rsidP="00467C95">
      <w:pPr>
        <w:pStyle w:val="ListBullet2"/>
      </w:pPr>
      <w:r w:rsidRPr="00467C95">
        <w:t>surface water pathways</w:t>
      </w:r>
    </w:p>
    <w:p w:rsidR="00000000" w:rsidRPr="00467C95" w:rsidP="00467C95">
      <w:pPr>
        <w:pStyle w:val="ListBullet2"/>
      </w:pPr>
      <w:r w:rsidRPr="00467C95">
        <w:t>sub-surface water pathways</w:t>
      </w:r>
    </w:p>
    <w:p w:rsidR="00000000" w:rsidRPr="00467C95" w:rsidP="00467C95">
      <w:pPr>
        <w:pStyle w:val="ListBullet2"/>
      </w:pPr>
      <w:r w:rsidRPr="00467C95">
        <w:t>properties of water and moisture movement</w:t>
      </w:r>
    </w:p>
    <w:p w:rsidR="00000000" w:rsidRPr="00467C95" w:rsidP="00467C95">
      <w:pPr>
        <w:pStyle w:val="ListBullet2"/>
      </w:pPr>
      <w:r w:rsidRPr="00467C95">
        <w:t>gradient and falls</w:t>
      </w:r>
    </w:p>
    <w:p w:rsidR="00000000" w:rsidRPr="00467C95" w:rsidP="00467C95">
      <w:pPr>
        <w:pStyle w:val="ListBullet2"/>
      </w:pPr>
      <w:r w:rsidRPr="00467C95">
        <w:t>hydrostatic pressure</w:t>
      </w:r>
    </w:p>
    <w:p w:rsidR="00000000" w:rsidRPr="00467C95" w:rsidP="00467C95">
      <w:pPr>
        <w:pStyle w:val="ListBullet2"/>
      </w:pPr>
      <w:r w:rsidRPr="00467C95">
        <w:t xml:space="preserve">effects of finishes on surface tension </w:t>
      </w:r>
    </w:p>
    <w:p w:rsidR="00000000" w:rsidRPr="00467C95" w:rsidP="00467C95">
      <w:pPr>
        <w:pStyle w:val="ListBullet2"/>
      </w:pPr>
      <w:r w:rsidRPr="00467C95">
        <w:t>capillarity</w:t>
      </w:r>
    </w:p>
    <w:p w:rsidR="00000000" w:rsidRPr="00467C95" w:rsidP="00467C95">
      <w:pPr>
        <w:pStyle w:val="ListBullet2"/>
      </w:pPr>
      <w:r w:rsidRPr="00467C95">
        <w:t>size and effectiveness of outfalls</w:t>
      </w:r>
    </w:p>
    <w:p w:rsidR="00000000" w:rsidRPr="00467C95" w:rsidP="00467C95">
      <w:pPr>
        <w:pStyle w:val="ListBullet2"/>
      </w:pPr>
      <w:r w:rsidRPr="00467C95">
        <w:t>penetrations an</w:t>
      </w:r>
      <w:r w:rsidRPr="00467C95">
        <w:t>d intrusion points</w:t>
      </w:r>
    </w:p>
    <w:p w:rsidR="00000000" w:rsidRPr="00467C95" w:rsidP="00467C95">
      <w:pPr>
        <w:pStyle w:val="ListBullet2"/>
      </w:pPr>
      <w:r w:rsidRPr="00467C95">
        <w:t>condensation</w:t>
      </w:r>
    </w:p>
    <w:p w:rsidR="00000000" w:rsidRPr="00467C95" w:rsidP="00467C95">
      <w:pPr>
        <w:pStyle w:val="ListBullet2"/>
      </w:pPr>
      <w:r w:rsidRPr="00467C95">
        <w:t>ventilation</w:t>
      </w:r>
    </w:p>
    <w:p w:rsidR="00000000" w:rsidRPr="00467C95" w:rsidP="00467C95">
      <w:pPr>
        <w:pStyle w:val="ListBullet"/>
      </w:pPr>
      <w:r w:rsidRPr="00467C95">
        <w:t>building elements and integration, including:</w:t>
      </w:r>
    </w:p>
    <w:p w:rsidR="00000000" w:rsidRPr="00467C95" w:rsidP="00467C95">
      <w:pPr>
        <w:pStyle w:val="ListBullet2"/>
      </w:pPr>
      <w:r w:rsidRPr="00467C95">
        <w:t>principles of water shedding</w:t>
      </w:r>
    </w:p>
    <w:p w:rsidR="00000000" w:rsidRPr="00467C95" w:rsidP="00467C95">
      <w:pPr>
        <w:pStyle w:val="ListBullet2"/>
      </w:pPr>
      <w:r w:rsidRPr="00467C95">
        <w:t>relationship between structural components</w:t>
      </w:r>
    </w:p>
    <w:p w:rsidR="00000000" w:rsidRPr="00467C95" w:rsidP="00467C95">
      <w:pPr>
        <w:pStyle w:val="ListBullet2"/>
      </w:pPr>
      <w:r w:rsidRPr="00467C95">
        <w:t>building movement</w:t>
      </w:r>
    </w:p>
    <w:p w:rsidR="00000000" w:rsidRPr="00467C95" w:rsidP="00467C95">
      <w:pPr>
        <w:pStyle w:val="ListBullet2"/>
      </w:pPr>
      <w:r w:rsidRPr="00467C95">
        <w:t>wind loadings</w:t>
      </w:r>
    </w:p>
    <w:p w:rsidR="00000000" w:rsidRPr="00467C95" w:rsidP="00467C95">
      <w:pPr>
        <w:pStyle w:val="ListBullet2"/>
      </w:pPr>
      <w:r w:rsidRPr="00467C95">
        <w:t>construction materials and their properties</w:t>
      </w:r>
    </w:p>
    <w:p w:rsidR="00000000" w:rsidRPr="00467C95" w:rsidP="00467C95">
      <w:pPr>
        <w:pStyle w:val="ListBullet"/>
      </w:pPr>
      <w:r w:rsidRPr="00467C95">
        <w:t>NCC performance requirements relevant to areas tested, including:</w:t>
      </w:r>
    </w:p>
    <w:p w:rsidR="00000000" w:rsidRPr="00467C95" w:rsidP="00467C95">
      <w:pPr>
        <w:pStyle w:val="ListBullet2"/>
      </w:pPr>
      <w:r w:rsidRPr="00467C95">
        <w:t>waterproofing</w:t>
      </w:r>
    </w:p>
    <w:p w:rsidR="00000000" w:rsidRPr="00467C95" w:rsidP="00467C95">
      <w:pPr>
        <w:pStyle w:val="ListBullet2"/>
      </w:pPr>
      <w:r w:rsidRPr="00467C95">
        <w:t>damp proofing</w:t>
      </w:r>
    </w:p>
    <w:p w:rsidR="00000000" w:rsidRPr="00467C95" w:rsidP="00467C95">
      <w:pPr>
        <w:pStyle w:val="ListBullet2"/>
      </w:pPr>
      <w:r w:rsidRPr="00467C95">
        <w:t>condensation management</w:t>
      </w:r>
    </w:p>
    <w:p w:rsidR="00000000" w:rsidRPr="00467C95" w:rsidP="00467C95">
      <w:pPr>
        <w:pStyle w:val="ListBullet"/>
      </w:pPr>
      <w:r w:rsidRPr="00467C95">
        <w:t>NCC evidence of suitability in relation to waterproofing system performance, including:</w:t>
      </w:r>
    </w:p>
    <w:p w:rsidR="00000000" w:rsidRPr="00467C95" w:rsidP="00467C95">
      <w:pPr>
        <w:pStyle w:val="ListBullet2"/>
      </w:pPr>
      <w:r w:rsidRPr="00467C95">
        <w:t>independent test reports</w:t>
      </w:r>
    </w:p>
    <w:p w:rsidR="00000000" w:rsidRPr="00467C95" w:rsidP="00467C95">
      <w:pPr>
        <w:pStyle w:val="ListBullet2"/>
      </w:pPr>
      <w:r w:rsidRPr="00467C95">
        <w:t>CodeMark Australia</w:t>
      </w:r>
    </w:p>
    <w:p w:rsidR="00000000" w:rsidRPr="00467C95" w:rsidP="00467C95">
      <w:pPr>
        <w:pStyle w:val="ListBullet2"/>
      </w:pPr>
      <w:r w:rsidRPr="00467C95">
        <w:t>other independent testing organisations</w:t>
      </w:r>
    </w:p>
    <w:p w:rsidR="00000000" w:rsidRPr="00467C95" w:rsidP="00467C95">
      <w:pPr>
        <w:pStyle w:val="ListBullet"/>
      </w:pPr>
      <w:r w:rsidRPr="00467C95">
        <w:t>Australian Standards and design requirements relevant to areas inspected</w:t>
      </w:r>
    </w:p>
    <w:p w:rsidR="00000000" w:rsidRPr="00467C95" w:rsidP="00467C95">
      <w:pPr>
        <w:pStyle w:val="ListBullet"/>
      </w:pPr>
      <w:r w:rsidRPr="00467C95">
        <w:t>waterproofing system manufacturers’ requirements, including:</w:t>
      </w:r>
    </w:p>
    <w:p w:rsidR="00000000" w:rsidRPr="00467C95" w:rsidP="00467C95">
      <w:pPr>
        <w:pStyle w:val="ListBullet2"/>
      </w:pPr>
      <w:r w:rsidRPr="00467C95">
        <w:t>data sheets and specifications</w:t>
      </w:r>
    </w:p>
    <w:p w:rsidR="00000000" w:rsidRPr="00467C95" w:rsidP="00467C95">
      <w:pPr>
        <w:pStyle w:val="ListBullet2"/>
      </w:pPr>
      <w:r w:rsidRPr="00467C95">
        <w:t>installation method statements</w:t>
      </w:r>
    </w:p>
    <w:p w:rsidR="00000000" w:rsidRPr="00467C95" w:rsidP="00467C95">
      <w:pPr>
        <w:pStyle w:val="ListBullet2"/>
      </w:pPr>
      <w:r w:rsidRPr="00467C95">
        <w:t>performance of sys</w:t>
      </w:r>
      <w:r w:rsidRPr="00467C95">
        <w:t>tem according to service conditions</w:t>
      </w:r>
    </w:p>
    <w:p w:rsidR="00000000" w:rsidRPr="00467C95" w:rsidP="00467C95">
      <w:pPr>
        <w:pStyle w:val="ListBullet2"/>
      </w:pPr>
      <w:r w:rsidRPr="00467C95">
        <w:t>suitability of materials as fit for purpose</w:t>
      </w:r>
    </w:p>
    <w:p w:rsidR="00000000" w:rsidRPr="00467C95" w:rsidP="00467C95">
      <w:pPr>
        <w:pStyle w:val="ListBullet2"/>
      </w:pPr>
      <w:r w:rsidRPr="00467C95">
        <w:t>compatibility of components within the system</w:t>
      </w:r>
    </w:p>
    <w:p w:rsidR="00000000" w:rsidRPr="00467C95" w:rsidP="00467C95">
      <w:pPr>
        <w:pStyle w:val="ListBullet"/>
      </w:pPr>
      <w:r w:rsidRPr="00467C95">
        <w:t>stakeholders:</w:t>
      </w:r>
    </w:p>
    <w:p w:rsidR="00000000" w:rsidRPr="00467C95" w:rsidP="00467C95">
      <w:pPr>
        <w:pStyle w:val="ListBullet2"/>
      </w:pPr>
      <w:r w:rsidRPr="00467C95">
        <w:t>architect</w:t>
      </w:r>
    </w:p>
    <w:p w:rsidR="00000000" w:rsidRPr="00467C95" w:rsidP="00467C95">
      <w:pPr>
        <w:pStyle w:val="ListBullet2"/>
      </w:pPr>
      <w:r w:rsidRPr="00467C95">
        <w:t>engineer</w:t>
      </w:r>
    </w:p>
    <w:p w:rsidR="00000000" w:rsidRPr="00467C95" w:rsidP="00467C95">
      <w:pPr>
        <w:pStyle w:val="ListBullet2"/>
      </w:pPr>
      <w:r w:rsidRPr="00467C95">
        <w:t>builder</w:t>
      </w:r>
    </w:p>
    <w:p w:rsidR="00000000" w:rsidRPr="00467C95" w:rsidP="00467C95">
      <w:pPr>
        <w:pStyle w:val="ListBullet2"/>
      </w:pPr>
      <w:r w:rsidRPr="00467C95">
        <w:t>building owner</w:t>
      </w:r>
    </w:p>
    <w:p w:rsidR="00000000" w:rsidRPr="00467C95" w:rsidP="00467C95">
      <w:pPr>
        <w:pStyle w:val="ListBullet2"/>
      </w:pPr>
      <w:r w:rsidRPr="00467C95">
        <w:t>consumer</w:t>
      </w:r>
    </w:p>
    <w:p w:rsidR="00000000" w:rsidRPr="00467C95" w:rsidP="00467C95">
      <w:pPr>
        <w:pStyle w:val="ListBullet2"/>
      </w:pPr>
      <w:r w:rsidRPr="00467C95">
        <w:t>design team</w:t>
      </w:r>
    </w:p>
    <w:p w:rsidR="00000000" w:rsidRPr="00467C95" w:rsidP="00467C95">
      <w:pPr>
        <w:pStyle w:val="ListBullet2"/>
      </w:pPr>
      <w:r w:rsidRPr="00467C95">
        <w:t>construction team</w:t>
      </w:r>
    </w:p>
    <w:p w:rsidR="00000000" w:rsidRPr="00467C95" w:rsidP="00467C95">
      <w:pPr>
        <w:pStyle w:val="ListBullet2"/>
      </w:pPr>
      <w:r w:rsidRPr="00467C95">
        <w:t>certifier</w:t>
      </w:r>
    </w:p>
    <w:p w:rsidR="00000000" w:rsidRPr="00467C95" w:rsidP="00467C95">
      <w:pPr>
        <w:pStyle w:val="ListBullet2"/>
      </w:pPr>
      <w:r w:rsidRPr="00467C95">
        <w:t>building surveyor</w:t>
      </w:r>
    </w:p>
    <w:p w:rsidR="00000000" w:rsidRPr="00467C95" w:rsidP="00467C95">
      <w:pPr>
        <w:pStyle w:val="ListBullet2"/>
      </w:pPr>
      <w:r w:rsidRPr="00467C95">
        <w:t>regulators</w:t>
      </w:r>
    </w:p>
    <w:p w:rsidR="00000000" w:rsidRPr="00467C95" w:rsidP="00467C95">
      <w:pPr>
        <w:pStyle w:val="ListBullet"/>
      </w:pPr>
      <w:r w:rsidRPr="00467C95">
        <w:t>report content and communication of findings, including:</w:t>
      </w:r>
    </w:p>
    <w:p w:rsidR="00000000" w:rsidRPr="00467C95" w:rsidP="00467C95">
      <w:pPr>
        <w:pStyle w:val="ListBullet2"/>
      </w:pPr>
      <w:r w:rsidRPr="00467C95">
        <w:t xml:space="preserve">types of diagnostic reports and structures </w:t>
      </w:r>
    </w:p>
    <w:p w:rsidR="00000000" w:rsidRPr="00467C95" w:rsidP="00467C95">
      <w:pPr>
        <w:pStyle w:val="ListBullet2"/>
      </w:pPr>
      <w:r w:rsidRPr="00467C95">
        <w:t xml:space="preserve">tables and diagrams </w:t>
      </w:r>
    </w:p>
    <w:p w:rsidR="00000000" w:rsidRPr="00467C95" w:rsidP="00467C95">
      <w:pPr>
        <w:pStyle w:val="ListBullet2"/>
      </w:pPr>
      <w:r w:rsidRPr="00467C95">
        <w:t>photographic evidence</w:t>
      </w:r>
    </w:p>
    <w:p w:rsidR="00000000" w:rsidRPr="00467C95" w:rsidP="00467C95">
      <w:pPr>
        <w:pStyle w:val="ListBullet2"/>
      </w:pPr>
      <w:r w:rsidRPr="00467C95">
        <w:t>interpreting test results</w:t>
      </w:r>
    </w:p>
    <w:p w:rsidR="00000000" w:rsidRPr="00467C95" w:rsidP="00467C95">
      <w:pPr>
        <w:pStyle w:val="ListBullet2"/>
      </w:pPr>
      <w:r w:rsidRPr="00467C95">
        <w:t>references to Australian Standards and designs</w:t>
      </w:r>
    </w:p>
    <w:p w:rsidR="00000000" w:rsidRPr="00467C95" w:rsidP="00467C95">
      <w:pPr>
        <w:pStyle w:val="ListBullet2"/>
      </w:pPr>
      <w:r w:rsidRPr="00467C95">
        <w:t>verbal communication strategies</w:t>
      </w:r>
    </w:p>
    <w:p w:rsidR="00000000" w:rsidRPr="00467C95" w:rsidP="00467C95">
      <w:pPr>
        <w:pStyle w:val="ListBullet2"/>
      </w:pPr>
      <w:r w:rsidRPr="00467C95">
        <w:t>different audiences</w:t>
      </w:r>
    </w:p>
    <w:p w:rsidR="00000000" w:rsidRPr="00467C95" w:rsidP="00467C95">
      <w:pPr>
        <w:pStyle w:val="ListBullet2"/>
      </w:pPr>
      <w:r w:rsidRPr="00467C95">
        <w:t>presenting evidence.</w:t>
      </w: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12" w:name="O_1260466"/>
      <w:bookmarkEnd w:id="12"/>
      <w:r w:rsidRPr="00467C95">
        <w:t>Assessment Conditions</w:t>
      </w:r>
    </w:p>
    <w:p w:rsidR="00000000" w:rsidRPr="00467C95" w:rsidP="0037450E">
      <w:pPr>
        <w:pStyle w:val="BodyText"/>
      </w:pPr>
      <w:r w:rsidRPr="00467C95">
        <w:t>Assessors must meet the requirements for assessors contained in the Standards for Registered Training Organisations.</w:t>
      </w:r>
    </w:p>
    <w:p w:rsidR="00000000" w:rsidRPr="00467C95" w:rsidP="0037450E">
      <w:pPr>
        <w:pStyle w:val="BodyText"/>
      </w:pPr>
      <w:r w:rsidRPr="00467C95">
        <w:t>Assessment of performance</w:t>
      </w:r>
      <w:r w:rsidRPr="00467C95">
        <w:t xml:space="preserve"> must be undertaken in the workplace or simulated workplace environment. A simulated workplace is one that fully replicates the resources, environment and any time and productivity pressures that exist in the actual workplace, and which meets industry stan</w:t>
      </w:r>
      <w:r w:rsidRPr="00467C95">
        <w:t>dards for safety and environmental practices.</w:t>
      </w:r>
    </w:p>
    <w:p w:rsidR="00000000" w:rsidRPr="00467C95" w:rsidP="0037450E">
      <w:pPr>
        <w:pStyle w:val="BodyText"/>
      </w:pPr>
      <w:r w:rsidRPr="00467C95">
        <w:t>Candidates must have access to:</w:t>
      </w:r>
    </w:p>
    <w:p w:rsidR="00000000" w:rsidRPr="00467C95" w:rsidP="00467C95">
      <w:pPr>
        <w:pStyle w:val="ListBullet"/>
      </w:pPr>
      <w:r w:rsidRPr="00467C95">
        <w:t xml:space="preserve">relevant tasks </w:t>
      </w:r>
    </w:p>
    <w:p w:rsidR="00000000" w:rsidRPr="00467C95" w:rsidP="00467C95">
      <w:pPr>
        <w:pStyle w:val="ListBullet"/>
      </w:pPr>
      <w:r w:rsidRPr="00467C95">
        <w:t>Australian Standards, relevant building legislation, industry codes, NCC and requirements of workplace policies and procedures as required by Commonwealth, state</w:t>
      </w:r>
      <w:r w:rsidRPr="00467C95">
        <w:t xml:space="preserve"> and territory regulators </w:t>
      </w:r>
    </w:p>
    <w:p w:rsidR="00000000" w:rsidRPr="00467C95" w:rsidP="00467C95">
      <w:pPr>
        <w:pStyle w:val="ListBullet"/>
      </w:pPr>
      <w:r w:rsidRPr="00467C95">
        <w:t>relevant environmental requirements.</w:t>
      </w:r>
    </w:p>
    <w:p w:rsidR="00000000" w:rsidRPr="00467C95" w:rsidP="00467C95">
      <w:pPr>
        <w:pStyle w:val="AllowPageBreak"/>
      </w:pPr>
    </w:p>
    <w:p w:rsidR="00000000" w:rsidRPr="00467C95" w:rsidP="00467C95">
      <w:pPr>
        <w:pStyle w:val="Heading1"/>
      </w:pPr>
      <w:bookmarkStart w:id="13" w:name="O_1260462"/>
      <w:bookmarkEnd w:id="13"/>
      <w:r w:rsidRPr="00467C95">
        <w:t>Links</w:t>
      </w:r>
    </w:p>
    <w:p w:rsidR="00000000" w:rsidRPr="00467C95" w:rsidP="0037450E">
      <w:pPr>
        <w:pStyle w:val="BodyText"/>
      </w:pPr>
      <w:r w:rsidRPr="00467C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42E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67C95" w:rsidP="00467C95"/>
    <w:sectPr w:rsidSect="00467C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 w:rsidRPr="0037450E" w:rsidP="00374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E" w:rsidP="0046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450E" w:rsidP="0046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7450E" w:rsidP="00467C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 w:rsidP="00467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50E">
      <w:t>Approved</w:t>
    </w:r>
    <w:r w:rsidR="003745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5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50E">
      <w:rPr>
        <w:noProof/>
      </w:rPr>
      <w:t>5</w:t>
    </w:r>
    <w:r>
      <w:rPr>
        <w:noProof/>
      </w:rPr>
      <w:fldChar w:fldCharType="end"/>
    </w:r>
  </w:p>
  <w:p w:rsidR="00467C95" w:rsidP="00467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5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50E">
      <w:t>BuildSkills Australia</w:t>
    </w:r>
    <w:r w:rsidR="0037450E">
      <w:fldChar w:fldCharType="end"/>
    </w:r>
  </w:p>
  <w:p w:rsidR="00467C95" w:rsidP="00467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C95" w:rsidRPr="0037450E" w:rsidP="00374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0E" w:rsidRPr="002D2AF8" w:rsidP="0046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CPCCWP5004 Determine origin of water and moisture ingress into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50E" w:rsidP="00467C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C95" w:rsidRPr="002D2AF8" w:rsidP="00467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50E">
      <w:t>CPCCWP5004 Determine origin of water and moisture ingress into buildings</w:t>
    </w:r>
    <w:r w:rsidR="003745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50E">
      <w:rPr>
        <w:noProof/>
      </w:rPr>
      <w:t>2 March 2025</w:t>
    </w:r>
    <w:r>
      <w:fldChar w:fldCharType="end"/>
    </w:r>
  </w:p>
  <w:p w:rsidR="00467C95" w:rsidP="00467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1CDE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A1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665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C95"/>
  </w:style>
  <w:style w:type="character" w:customStyle="1" w:styleId="Heading1Char">
    <w:name w:val="Heading 1 Char"/>
    <w:basedOn w:val="DefaultParagraphFont"/>
    <w:link w:val="Heading1"/>
    <w:rsid w:val="00467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C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C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7C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7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C95"/>
    <w:rPr>
      <w:b/>
      <w:spacing w:val="0"/>
    </w:rPr>
  </w:style>
  <w:style w:type="paragraph" w:customStyle="1" w:styleId="SuperTitle">
    <w:name w:val="SuperTitle"/>
    <w:basedOn w:val="Title"/>
    <w:rsid w:val="00467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C95"/>
    <w:rPr>
      <w:i/>
    </w:rPr>
  </w:style>
  <w:style w:type="paragraph" w:styleId="Caption">
    <w:name w:val="caption"/>
    <w:basedOn w:val="BodyText"/>
    <w:next w:val="Normal"/>
    <w:qFormat/>
    <w:rsid w:val="00467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C95"/>
  </w:style>
  <w:style w:type="paragraph" w:styleId="TableofFigures">
    <w:name w:val="table of figures"/>
    <w:basedOn w:val="Normal"/>
    <w:next w:val="Normal"/>
    <w:semiHidden/>
    <w:rsid w:val="00467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C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7C95"/>
    <w:rPr>
      <w:rFonts w:ascii="Wingdings" w:hAnsi="Wingdings"/>
    </w:rPr>
  </w:style>
  <w:style w:type="paragraph" w:customStyle="1" w:styleId="TableHeading">
    <w:name w:val="Table Heading"/>
    <w:basedOn w:val="HeadingBase"/>
    <w:rsid w:val="00467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C95"/>
    <w:rPr>
      <w:color w:val="0033CC"/>
      <w:u w:val="none"/>
    </w:rPr>
  </w:style>
  <w:style w:type="paragraph" w:customStyle="1" w:styleId="BodyTextRight">
    <w:name w:val="Body Text Right"/>
    <w:basedOn w:val="BodyText"/>
    <w:rsid w:val="00467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C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C95"/>
    <w:rPr>
      <w:sz w:val="32"/>
    </w:rPr>
  </w:style>
  <w:style w:type="paragraph" w:customStyle="1" w:styleId="HeadingProcedure">
    <w:name w:val="Heading Procedure"/>
    <w:basedOn w:val="HeadingBase"/>
    <w:next w:val="Normal"/>
    <w:rsid w:val="00467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C95"/>
    <w:pPr>
      <w:spacing w:before="60" w:after="60"/>
    </w:pPr>
  </w:style>
  <w:style w:type="paragraph" w:styleId="ListContinue">
    <w:name w:val="List Continue"/>
    <w:basedOn w:val="List"/>
    <w:rsid w:val="00467C95"/>
    <w:pPr>
      <w:ind w:firstLine="0"/>
    </w:pPr>
  </w:style>
  <w:style w:type="paragraph" w:customStyle="1" w:styleId="ListNote">
    <w:name w:val="List Note"/>
    <w:basedOn w:val="List"/>
    <w:rsid w:val="00467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C95"/>
    <w:rPr>
      <w:rFonts w:ascii="Courier New" w:hAnsi="Courier New"/>
    </w:rPr>
  </w:style>
  <w:style w:type="paragraph" w:customStyle="1" w:styleId="NoteBullet">
    <w:name w:val="Note Bullet"/>
    <w:basedOn w:val="Note"/>
    <w:rsid w:val="00467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C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7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C95"/>
    <w:rPr>
      <w:b/>
      <w:smallCaps/>
    </w:rPr>
  </w:style>
  <w:style w:type="paragraph" w:customStyle="1" w:styleId="TableListNumber">
    <w:name w:val="Table List Number"/>
    <w:basedOn w:val="ListNumber"/>
    <w:rsid w:val="00467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C95"/>
    <w:pPr>
      <w:numPr>
        <w:numId w:val="10"/>
      </w:numPr>
    </w:pPr>
  </w:style>
  <w:style w:type="paragraph" w:customStyle="1" w:styleId="ListAlpha2">
    <w:name w:val="List Alpha 2"/>
    <w:basedOn w:val="List2"/>
    <w:rsid w:val="00467C95"/>
    <w:pPr>
      <w:numPr>
        <w:numId w:val="9"/>
      </w:numPr>
    </w:pPr>
  </w:style>
  <w:style w:type="paragraph" w:styleId="List2">
    <w:name w:val="List 2"/>
    <w:basedOn w:val="BodyText"/>
    <w:rsid w:val="00467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C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7C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7C95"/>
    <w:pPr>
      <w:numPr>
        <w:numId w:val="5"/>
      </w:numPr>
    </w:pPr>
  </w:style>
  <w:style w:type="paragraph" w:styleId="ListContinue2">
    <w:name w:val="List Continue 2"/>
    <w:basedOn w:val="List2"/>
    <w:rsid w:val="00467C95"/>
    <w:pPr>
      <w:ind w:firstLine="0"/>
    </w:pPr>
  </w:style>
  <w:style w:type="paragraph" w:styleId="ListContinue3">
    <w:name w:val="List Continue 3"/>
    <w:basedOn w:val="List3"/>
    <w:rsid w:val="00467C95"/>
    <w:pPr>
      <w:ind w:left="1021" w:firstLine="0"/>
    </w:pPr>
  </w:style>
  <w:style w:type="paragraph" w:styleId="ListContinue4">
    <w:name w:val="List Continue 4"/>
    <w:basedOn w:val="List4"/>
    <w:rsid w:val="00467C95"/>
    <w:pPr>
      <w:ind w:firstLine="0"/>
    </w:pPr>
  </w:style>
  <w:style w:type="paragraph" w:styleId="ListContinue5">
    <w:name w:val="List Continue 5"/>
    <w:basedOn w:val="List5"/>
    <w:rsid w:val="00467C95"/>
    <w:pPr>
      <w:ind w:firstLine="0"/>
    </w:pPr>
  </w:style>
  <w:style w:type="paragraph" w:styleId="ListNumber3">
    <w:name w:val="List Number 3"/>
    <w:basedOn w:val="List3"/>
    <w:rsid w:val="00467C95"/>
    <w:pPr>
      <w:numPr>
        <w:numId w:val="6"/>
      </w:numPr>
    </w:pPr>
  </w:style>
  <w:style w:type="paragraph" w:styleId="ListNumber4">
    <w:name w:val="List Number 4"/>
    <w:basedOn w:val="List4"/>
    <w:rsid w:val="00467C95"/>
    <w:pPr>
      <w:numPr>
        <w:numId w:val="7"/>
      </w:numPr>
    </w:pPr>
  </w:style>
  <w:style w:type="paragraph" w:styleId="ListNumber5">
    <w:name w:val="List Number 5"/>
    <w:basedOn w:val="List5"/>
    <w:rsid w:val="00467C95"/>
    <w:pPr>
      <w:numPr>
        <w:numId w:val="8"/>
      </w:numPr>
    </w:pPr>
  </w:style>
  <w:style w:type="paragraph" w:styleId="BlockText">
    <w:name w:val="Block Text"/>
    <w:basedOn w:val="Normal"/>
    <w:rsid w:val="00467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C95"/>
    <w:rPr>
      <w:sz w:val="16"/>
      <w:vertAlign w:val="superscript"/>
    </w:rPr>
  </w:style>
  <w:style w:type="character" w:customStyle="1" w:styleId="Symbols">
    <w:name w:val="Symbols"/>
    <w:basedOn w:val="DefaultParagraphFont"/>
    <w:rsid w:val="00467C95"/>
    <w:rPr>
      <w:rFonts w:ascii="Symbol" w:hAnsi="Symbol"/>
    </w:rPr>
  </w:style>
  <w:style w:type="character" w:customStyle="1" w:styleId="MenuOptions">
    <w:name w:val="Menu Options"/>
    <w:basedOn w:val="DefaultParagraphFont"/>
    <w:rsid w:val="00467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C95"/>
    <w:rPr>
      <w:b/>
    </w:rPr>
  </w:style>
  <w:style w:type="character" w:customStyle="1" w:styleId="Underlined">
    <w:name w:val="Underlined"/>
    <w:basedOn w:val="DefaultParagraphFont"/>
    <w:rsid w:val="00467C95"/>
    <w:rPr>
      <w:u w:val="single"/>
    </w:rPr>
  </w:style>
  <w:style w:type="paragraph" w:customStyle="1" w:styleId="TableBodyTextRight">
    <w:name w:val="Table Body Text Right"/>
    <w:basedOn w:val="TableBodyText"/>
    <w:rsid w:val="00467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C95"/>
    <w:rPr>
      <w:sz w:val="18"/>
    </w:rPr>
  </w:style>
  <w:style w:type="paragraph" w:customStyle="1" w:styleId="BodySmallRight">
    <w:name w:val="Body Small Right"/>
    <w:basedOn w:val="BodyTextRight"/>
    <w:rsid w:val="00467C95"/>
    <w:rPr>
      <w:sz w:val="18"/>
      <w:szCs w:val="18"/>
    </w:rPr>
  </w:style>
  <w:style w:type="paragraph" w:customStyle="1" w:styleId="MarginEdition">
    <w:name w:val="Margin Edition"/>
    <w:basedOn w:val="MarginNote"/>
    <w:rsid w:val="00467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C95"/>
    <w:rPr>
      <w:sz w:val="2"/>
      <w:szCs w:val="2"/>
    </w:rPr>
  </w:style>
  <w:style w:type="character" w:customStyle="1" w:styleId="Small">
    <w:name w:val="Small"/>
    <w:basedOn w:val="DefaultParagraphFont"/>
    <w:rsid w:val="00467C95"/>
    <w:rPr>
      <w:sz w:val="16"/>
    </w:rPr>
  </w:style>
  <w:style w:type="paragraph" w:customStyle="1" w:styleId="WideTable">
    <w:name w:val="Wide Table"/>
    <w:basedOn w:val="Normal"/>
    <w:rsid w:val="00467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C95"/>
  </w:style>
  <w:style w:type="paragraph" w:styleId="Quote">
    <w:name w:val="Quote"/>
    <w:basedOn w:val="Heading1"/>
    <w:link w:val="QuoteChar"/>
    <w:qFormat/>
    <w:rsid w:val="00467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C95"/>
    <w:pPr>
      <w:pageBreakBefore/>
    </w:pPr>
  </w:style>
  <w:style w:type="paragraph" w:customStyle="1" w:styleId="Border">
    <w:name w:val="Border"/>
    <w:basedOn w:val="Normal"/>
    <w:qFormat/>
    <w:rsid w:val="00467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C95"/>
    <w:rPr>
      <w:u w:val="single"/>
    </w:rPr>
  </w:style>
  <w:style w:type="character" w:customStyle="1" w:styleId="BoldandItalics">
    <w:name w:val="Bold and Italics"/>
    <w:qFormat/>
    <w:rsid w:val="00467C95"/>
    <w:rPr>
      <w:b/>
      <w:i/>
      <w:u w:val="none"/>
    </w:rPr>
  </w:style>
  <w:style w:type="paragraph" w:styleId="BalloonText">
    <w:name w:val="Balloon Text"/>
    <w:basedOn w:val="Normal"/>
    <w:link w:val="BalloonTextChar"/>
    <w:rsid w:val="00467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C95"/>
    <w:pPr>
      <w:spacing w:before="0" w:after="0"/>
    </w:pPr>
  </w:style>
  <w:style w:type="paragraph" w:customStyle="1" w:styleId="BodyTextBold">
    <w:name w:val="Body Text Bold"/>
    <w:basedOn w:val="BodyText"/>
    <w:qFormat/>
    <w:rsid w:val="00467C95"/>
    <w:rPr>
      <w:b/>
    </w:rPr>
  </w:style>
  <w:style w:type="character" w:styleId="Hyperlink">
    <w:name w:val="Hyperlink"/>
    <w:basedOn w:val="DefaultParagraphFont"/>
    <w:uiPriority w:val="99"/>
    <w:unhideWhenUsed/>
    <w:rsid w:val="00374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1180</Words>
  <Characters>7946</Characters>
  <Application>Microsoft Office Word</Application>
  <DocSecurity>0</DocSecurity>
  <Lines>305</Lines>
  <Paragraphs>207</Paragraphs>
  <ScaleCrop>false</ScaleCrop>
  <Company>Author-it Software Corporation Ltd.</Company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CPCCWP5004 Determine origin of water and moisture ingress into buildings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