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E96" w:rsidP="004E1E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CPCCWP5004 Determine origin of water and moisture ingress into buildings</w:t>
      </w:r>
      <w:r>
        <w:fldChar w:fldCharType="end"/>
      </w:r>
    </w:p>
    <w:p w:rsidR="004E1E96" w:rsidP="004E1E96">
      <w:pPr>
        <w:pStyle w:val="Version"/>
        <w:sectPr w:rsidSect="00FB0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4D6" w:rsidP="00FB04D6">
      <w:pPr>
        <w:pStyle w:val="SuperHeading"/>
      </w:pPr>
      <w:r w:rsidRPr="00FB04D6">
        <w:t>Assessment Requirements for CPCCWP5004 Determine origin of water and moisture ingress into buildings</w:t>
      </w:r>
    </w:p>
    <w:p w:rsidR="00000000" w:rsidRPr="00FB04D6" w:rsidP="00FB04D6">
      <w:pPr>
        <w:pStyle w:val="Heading1"/>
      </w:pPr>
      <w:bookmarkStart w:id="1" w:name="O_1260464"/>
      <w:bookmarkEnd w:id="1"/>
      <w:r w:rsidRPr="00FB04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FB0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D6">
            <w:pPr>
              <w:pStyle w:val="BodyText"/>
              <w:rPr>
                <w:lang w:val="en-NZ"/>
              </w:rPr>
            </w:pPr>
            <w:r w:rsidRPr="00FB04D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4D6" w:rsidP="00FB04D6">
            <w:pPr>
              <w:pStyle w:val="BodyText"/>
            </w:pPr>
            <w:r w:rsidRPr="00FB04D6">
              <w:t>This version first released with CPC Construction, Plumbing and Services Training Package Release 9.0.</w:t>
            </w:r>
          </w:p>
          <w:p w:rsidR="00000000" w:rsidRPr="00FB04D6" w:rsidP="00FB04D6">
            <w:pPr>
              <w:pStyle w:val="BodyText"/>
            </w:pPr>
            <w:r w:rsidRPr="00FB04D6">
              <w:t>Newly created unit.</w:t>
            </w:r>
          </w:p>
        </w:tc>
      </w:tr>
    </w:tbl>
    <w:p w:rsidR="00000000" w:rsidRPr="00FB04D6" w:rsidP="00FB04D6">
      <w:pPr>
        <w:pStyle w:val="BodyText"/>
      </w:pPr>
    </w:p>
    <w:p w:rsidR="00000000" w:rsidRPr="00FB04D6" w:rsidP="00FB04D6">
      <w:pPr>
        <w:pStyle w:val="AllowPageBreak"/>
      </w:pPr>
    </w:p>
    <w:p w:rsidR="00000000" w:rsidRPr="00FB04D6" w:rsidP="00FB04D6">
      <w:pPr>
        <w:pStyle w:val="Heading1"/>
      </w:pPr>
      <w:bookmarkStart w:id="2" w:name="O_1260469"/>
      <w:bookmarkEnd w:id="2"/>
      <w:r w:rsidRPr="00FB04D6">
        <w:t>Performance Evidence</w:t>
      </w:r>
    </w:p>
    <w:p w:rsidR="00000000" w:rsidRPr="00FB04D6" w:rsidP="004E1E96">
      <w:pPr>
        <w:pStyle w:val="BodyText"/>
      </w:pPr>
      <w:r w:rsidRPr="00FB04D6">
        <w:t>A person demonstrating competency in this unit must satisfy the requirements of the elements, performance criteria and foundation skills of this unit, in addition to the specific performance and</w:t>
      </w:r>
      <w:r w:rsidRPr="00FB04D6">
        <w:t xml:space="preserve"> knowledge evidence described below.</w:t>
      </w:r>
    </w:p>
    <w:p w:rsidR="00000000" w:rsidRPr="00FB04D6" w:rsidP="004E1E96">
      <w:pPr>
        <w:pStyle w:val="BodyText"/>
      </w:pPr>
      <w:r w:rsidRPr="00FB04D6">
        <w:t>Candidates must conduct three (3) water and moisture ingress investigations and develop diagnostic reports for three (3) different areas, chosen from list provided:</w:t>
      </w:r>
    </w:p>
    <w:p w:rsidR="00000000" w:rsidRPr="00FB04D6" w:rsidP="00FB04D6">
      <w:pPr>
        <w:pStyle w:val="ListBullet"/>
      </w:pPr>
      <w:r w:rsidRPr="00FB04D6">
        <w:t>one investigation and report from an internal wet are</w:t>
      </w:r>
      <w:r w:rsidRPr="00FB04D6">
        <w:t>a which includes a shower</w:t>
      </w:r>
    </w:p>
    <w:p w:rsidR="00000000" w:rsidRPr="00FB04D6" w:rsidP="00FB04D6">
      <w:pPr>
        <w:pStyle w:val="ListBullet"/>
      </w:pPr>
      <w:r w:rsidRPr="00FB04D6">
        <w:t xml:space="preserve">one investigation and report of water ingress through: </w:t>
      </w:r>
    </w:p>
    <w:p w:rsidR="00000000" w:rsidRPr="00FB04D6" w:rsidP="00FB04D6">
      <w:pPr>
        <w:pStyle w:val="ListBullet2"/>
      </w:pPr>
      <w:r w:rsidRPr="00FB04D6">
        <w:t>an external wall, adjacent to a waterproofed balcony or deck; OR</w:t>
      </w:r>
    </w:p>
    <w:p w:rsidR="00000000" w:rsidRPr="00FB04D6" w:rsidP="00FB04D6">
      <w:pPr>
        <w:pStyle w:val="ListBullet2"/>
      </w:pPr>
      <w:r w:rsidRPr="00FB04D6">
        <w:t>water ingress below a concrete roof terrace</w:t>
      </w:r>
    </w:p>
    <w:p w:rsidR="00000000" w:rsidRPr="00FB04D6" w:rsidP="00FB04D6">
      <w:pPr>
        <w:pStyle w:val="ListBullet"/>
      </w:pPr>
      <w:r w:rsidRPr="00FB04D6">
        <w:t>one investigation and report of water ingress below a waterproofed, lightweight, flat roof structure or balcony</w:t>
      </w:r>
    </w:p>
    <w:p w:rsidR="00000000" w:rsidRPr="00FB04D6" w:rsidP="00FB04D6">
      <w:pPr>
        <w:pStyle w:val="ListBullet"/>
      </w:pPr>
      <w:r w:rsidRPr="00FB04D6">
        <w:t>one investigation and report of water ingress to habitable space below ground.</w:t>
      </w:r>
    </w:p>
    <w:p w:rsidR="00000000" w:rsidRPr="00FB04D6" w:rsidP="004E1E96">
      <w:pPr>
        <w:pStyle w:val="BodyText"/>
      </w:pPr>
      <w:r w:rsidRPr="00FB04D6">
        <w:t>In doing so, the diagnosis and evidence reports must be written i</w:t>
      </w:r>
      <w:r w:rsidRPr="00FB04D6">
        <w:t>n such a way as to inform a remedial waterproofing design and scope of works and must include:</w:t>
      </w:r>
    </w:p>
    <w:p w:rsidR="00000000" w:rsidRPr="00FB04D6" w:rsidP="00FB04D6">
      <w:pPr>
        <w:pStyle w:val="ListBullet2"/>
      </w:pPr>
      <w:r w:rsidRPr="00FB04D6">
        <w:t>all relevant background information</w:t>
      </w:r>
    </w:p>
    <w:p w:rsidR="00000000" w:rsidRPr="00FB04D6" w:rsidP="00FB04D6">
      <w:pPr>
        <w:pStyle w:val="ListBullet2"/>
      </w:pPr>
      <w:r w:rsidRPr="00FB04D6">
        <w:t>investigation methodology</w:t>
      </w:r>
    </w:p>
    <w:p w:rsidR="00000000" w:rsidRPr="00FB04D6" w:rsidP="00FB04D6">
      <w:pPr>
        <w:pStyle w:val="ListBullet2"/>
      </w:pPr>
      <w:r w:rsidRPr="00FB04D6">
        <w:t>record of findings</w:t>
      </w:r>
    </w:p>
    <w:p w:rsidR="00000000" w:rsidRPr="00FB04D6" w:rsidP="00FB04D6">
      <w:pPr>
        <w:pStyle w:val="ListBullet2"/>
      </w:pPr>
      <w:r w:rsidRPr="00FB04D6">
        <w:t xml:space="preserve">identification of the cause(s) of the water and moisture ingress </w:t>
      </w:r>
    </w:p>
    <w:p w:rsidR="00000000" w:rsidRPr="00FB04D6" w:rsidP="00FB04D6">
      <w:pPr>
        <w:pStyle w:val="ListBullet2"/>
      </w:pPr>
      <w:r w:rsidRPr="00FB04D6">
        <w:t>review of evi</w:t>
      </w:r>
      <w:r w:rsidRPr="00FB04D6">
        <w:t>dence against site factors and influences</w:t>
      </w:r>
    </w:p>
    <w:p w:rsidR="00000000" w:rsidRPr="00FB04D6" w:rsidP="00FB04D6">
      <w:pPr>
        <w:pStyle w:val="ListBullet2"/>
      </w:pPr>
      <w:r w:rsidRPr="00FB04D6">
        <w:t>assessment of waterproofing design and application against compliance with National Construction Code (NCC) performance requirements, Australian Standards, manufacturers’ recommendations, building design and use of</w:t>
      </w:r>
      <w:r w:rsidRPr="00FB04D6">
        <w:t xml:space="preserve"> area.</w:t>
      </w:r>
    </w:p>
    <w:p w:rsidR="00000000" w:rsidRPr="00FB04D6" w:rsidP="00FB04D6">
      <w:pPr>
        <w:pStyle w:val="AllowPageBreak"/>
      </w:pPr>
    </w:p>
    <w:p w:rsidR="00000000" w:rsidRPr="00FB04D6" w:rsidP="00FB04D6">
      <w:pPr>
        <w:pStyle w:val="Heading1"/>
      </w:pPr>
      <w:bookmarkStart w:id="3" w:name="O_1260467"/>
      <w:bookmarkEnd w:id="3"/>
      <w:r w:rsidRPr="00FB04D6">
        <w:t>Knowledge Evidence</w:t>
      </w:r>
    </w:p>
    <w:p w:rsidR="00000000" w:rsidRPr="00FB04D6" w:rsidP="004E1E96">
      <w:pPr>
        <w:pStyle w:val="BodyText"/>
      </w:pPr>
      <w:r w:rsidRPr="00FB04D6">
        <w:t>To be competent in this unit, a candidate must demonstrate knowledge of:</w:t>
      </w:r>
    </w:p>
    <w:p w:rsidR="00000000" w:rsidRPr="00FB04D6" w:rsidP="00FB04D6">
      <w:pPr>
        <w:pStyle w:val="ListBullet"/>
      </w:pPr>
      <w:r w:rsidRPr="00FB04D6">
        <w:t>application of scientific methodology</w:t>
      </w:r>
    </w:p>
    <w:p w:rsidR="00000000" w:rsidRPr="00FB04D6" w:rsidP="00FB04D6">
      <w:pPr>
        <w:pStyle w:val="ListBullet"/>
      </w:pPr>
      <w:r w:rsidRPr="00FB04D6">
        <w:t>diagnostic procedures – non-destructive and destructive, including:</w:t>
      </w:r>
    </w:p>
    <w:p w:rsidR="00000000" w:rsidRPr="00FB04D6" w:rsidP="00FB04D6">
      <w:pPr>
        <w:pStyle w:val="ListBullet2"/>
      </w:pPr>
      <w:r w:rsidRPr="00FB04D6">
        <w:t xml:space="preserve">site investigation </w:t>
      </w:r>
    </w:p>
    <w:p w:rsidR="00000000" w:rsidRPr="00FB04D6" w:rsidP="00FB04D6">
      <w:pPr>
        <w:pStyle w:val="ListBullet2"/>
      </w:pPr>
      <w:r w:rsidRPr="00FB04D6">
        <w:t>inspecting protocols</w:t>
      </w:r>
    </w:p>
    <w:p w:rsidR="00000000" w:rsidRPr="00FB04D6" w:rsidP="00FB04D6">
      <w:pPr>
        <w:pStyle w:val="ListBullet2"/>
      </w:pPr>
      <w:r w:rsidRPr="00FB04D6">
        <w:t>analysing evidence</w:t>
      </w:r>
    </w:p>
    <w:p w:rsidR="00000000" w:rsidRPr="00FB04D6" w:rsidP="00FB04D6">
      <w:pPr>
        <w:pStyle w:val="ListBullet2"/>
      </w:pPr>
      <w:r w:rsidRPr="00FB04D6">
        <w:t>suitable technologies:</w:t>
      </w:r>
    </w:p>
    <w:p w:rsidR="00000000" w:rsidRPr="00FB04D6" w:rsidP="00FB04D6">
      <w:pPr>
        <w:pStyle w:val="ListBullet3"/>
      </w:pPr>
      <w:r w:rsidRPr="00FB04D6">
        <w:t>thermal</w:t>
      </w:r>
    </w:p>
    <w:p w:rsidR="00000000" w:rsidRPr="00FB04D6" w:rsidP="00FB04D6">
      <w:pPr>
        <w:pStyle w:val="ListBullet3"/>
      </w:pPr>
      <w:r w:rsidRPr="00FB04D6">
        <w:t>microwave</w:t>
      </w:r>
    </w:p>
    <w:p w:rsidR="00000000" w:rsidRPr="00FB04D6" w:rsidP="00FB04D6">
      <w:pPr>
        <w:pStyle w:val="ListBullet3"/>
      </w:pPr>
      <w:r w:rsidRPr="00FB04D6">
        <w:t>ground penetrating radar (GPR)</w:t>
      </w:r>
    </w:p>
    <w:p w:rsidR="00000000" w:rsidRPr="00FB04D6" w:rsidP="00FB04D6">
      <w:pPr>
        <w:pStyle w:val="ListBullet3"/>
      </w:pPr>
      <w:r w:rsidRPr="00FB04D6">
        <w:t>dye water testing</w:t>
      </w:r>
    </w:p>
    <w:p w:rsidR="00000000" w:rsidRPr="00FB04D6" w:rsidP="00FB04D6">
      <w:pPr>
        <w:pStyle w:val="ListBullet3"/>
      </w:pPr>
      <w:r w:rsidRPr="00FB04D6">
        <w:t>impedance and capacitance technologies</w:t>
      </w:r>
    </w:p>
    <w:p w:rsidR="00000000" w:rsidRPr="00FB04D6" w:rsidP="00FB04D6">
      <w:pPr>
        <w:pStyle w:val="ListBullet3"/>
      </w:pPr>
      <w:r w:rsidRPr="00FB04D6">
        <w:t>electronic field vector mapping</w:t>
      </w:r>
    </w:p>
    <w:p w:rsidR="00000000" w:rsidRPr="00FB04D6" w:rsidP="00FB04D6">
      <w:pPr>
        <w:pStyle w:val="ListBullet3"/>
      </w:pPr>
      <w:r w:rsidRPr="00FB04D6">
        <w:t>high and low voltage holiday testing</w:t>
      </w:r>
    </w:p>
    <w:p w:rsidR="00000000" w:rsidRPr="00FB04D6" w:rsidP="00FB04D6">
      <w:pPr>
        <w:pStyle w:val="ListBullet"/>
      </w:pPr>
      <w:r w:rsidRPr="00FB04D6">
        <w:t xml:space="preserve">setting control parameters and testing methods, including: </w:t>
      </w:r>
    </w:p>
    <w:p w:rsidR="00000000" w:rsidRPr="00FB04D6" w:rsidP="00FB04D6">
      <w:pPr>
        <w:pStyle w:val="ListBullet2"/>
      </w:pPr>
      <w:r w:rsidRPr="00FB04D6">
        <w:t>selection of appropriate test method</w:t>
      </w:r>
    </w:p>
    <w:p w:rsidR="00000000" w:rsidRPr="00FB04D6" w:rsidP="00FB04D6">
      <w:pPr>
        <w:pStyle w:val="ListBullet2"/>
      </w:pPr>
      <w:r w:rsidRPr="00FB04D6">
        <w:t>calibration of testing equipment</w:t>
      </w:r>
    </w:p>
    <w:p w:rsidR="00000000" w:rsidRPr="00FB04D6" w:rsidP="00FB04D6">
      <w:pPr>
        <w:pStyle w:val="ListBullet2"/>
      </w:pPr>
      <w:r w:rsidRPr="00FB04D6">
        <w:t>effects on testing equipment by site conditions and testing procedures</w:t>
      </w:r>
    </w:p>
    <w:p w:rsidR="00000000" w:rsidRPr="00FB04D6" w:rsidP="00FB04D6">
      <w:pPr>
        <w:pStyle w:val="ListBullet"/>
      </w:pPr>
      <w:r w:rsidRPr="00FB04D6">
        <w:t>contributing site factors and influence, including:</w:t>
      </w:r>
    </w:p>
    <w:p w:rsidR="00000000" w:rsidRPr="00FB04D6" w:rsidP="00FB04D6">
      <w:pPr>
        <w:pStyle w:val="ListBullet2"/>
      </w:pPr>
      <w:r w:rsidRPr="00FB04D6">
        <w:t>water ingress sources</w:t>
      </w:r>
    </w:p>
    <w:p w:rsidR="00000000" w:rsidRPr="00FB04D6" w:rsidP="00FB04D6">
      <w:pPr>
        <w:pStyle w:val="ListBullet2"/>
      </w:pPr>
      <w:r w:rsidRPr="00FB04D6">
        <w:t>surface water pathways</w:t>
      </w:r>
    </w:p>
    <w:p w:rsidR="00000000" w:rsidRPr="00FB04D6" w:rsidP="00FB04D6">
      <w:pPr>
        <w:pStyle w:val="ListBullet2"/>
      </w:pPr>
      <w:r w:rsidRPr="00FB04D6">
        <w:t>sub-surface water pathways</w:t>
      </w:r>
    </w:p>
    <w:p w:rsidR="00000000" w:rsidRPr="00FB04D6" w:rsidP="00FB04D6">
      <w:pPr>
        <w:pStyle w:val="ListBullet2"/>
      </w:pPr>
      <w:r w:rsidRPr="00FB04D6">
        <w:t>properties of water and moisture movement</w:t>
      </w:r>
    </w:p>
    <w:p w:rsidR="00000000" w:rsidRPr="00FB04D6" w:rsidP="00FB04D6">
      <w:pPr>
        <w:pStyle w:val="ListBullet2"/>
      </w:pPr>
      <w:r w:rsidRPr="00FB04D6">
        <w:t>gradient and falls</w:t>
      </w:r>
    </w:p>
    <w:p w:rsidR="00000000" w:rsidRPr="00FB04D6" w:rsidP="00FB04D6">
      <w:pPr>
        <w:pStyle w:val="ListBullet2"/>
      </w:pPr>
      <w:r w:rsidRPr="00FB04D6">
        <w:t>hydrostatic pressure</w:t>
      </w:r>
    </w:p>
    <w:p w:rsidR="00000000" w:rsidRPr="00FB04D6" w:rsidP="00FB04D6">
      <w:pPr>
        <w:pStyle w:val="ListBullet2"/>
      </w:pPr>
      <w:r w:rsidRPr="00FB04D6">
        <w:t xml:space="preserve">effects of finishes on surface tension </w:t>
      </w:r>
    </w:p>
    <w:p w:rsidR="00000000" w:rsidRPr="00FB04D6" w:rsidP="00FB04D6">
      <w:pPr>
        <w:pStyle w:val="ListBullet2"/>
      </w:pPr>
      <w:r w:rsidRPr="00FB04D6">
        <w:t>capillarity</w:t>
      </w:r>
    </w:p>
    <w:p w:rsidR="00000000" w:rsidRPr="00FB04D6" w:rsidP="00FB04D6">
      <w:pPr>
        <w:pStyle w:val="ListBullet2"/>
      </w:pPr>
      <w:r w:rsidRPr="00FB04D6">
        <w:t>size and effectiveness of outfalls</w:t>
      </w:r>
    </w:p>
    <w:p w:rsidR="00000000" w:rsidRPr="00FB04D6" w:rsidP="00FB04D6">
      <w:pPr>
        <w:pStyle w:val="ListBullet2"/>
      </w:pPr>
      <w:r w:rsidRPr="00FB04D6">
        <w:t>penetrations an</w:t>
      </w:r>
      <w:r w:rsidRPr="00FB04D6">
        <w:t>d intrusion points</w:t>
      </w:r>
    </w:p>
    <w:p w:rsidR="00000000" w:rsidRPr="00FB04D6" w:rsidP="00FB04D6">
      <w:pPr>
        <w:pStyle w:val="ListBullet2"/>
      </w:pPr>
      <w:r w:rsidRPr="00FB04D6">
        <w:t>condensation</w:t>
      </w:r>
    </w:p>
    <w:p w:rsidR="00000000" w:rsidRPr="00FB04D6" w:rsidP="00FB04D6">
      <w:pPr>
        <w:pStyle w:val="ListBullet2"/>
      </w:pPr>
      <w:r w:rsidRPr="00FB04D6">
        <w:t>ventilation</w:t>
      </w:r>
    </w:p>
    <w:p w:rsidR="00000000" w:rsidRPr="00FB04D6" w:rsidP="00FB04D6">
      <w:pPr>
        <w:pStyle w:val="ListBullet"/>
      </w:pPr>
      <w:r w:rsidRPr="00FB04D6">
        <w:t>building elements and integration, including:</w:t>
      </w:r>
    </w:p>
    <w:p w:rsidR="00000000" w:rsidRPr="00FB04D6" w:rsidP="00FB04D6">
      <w:pPr>
        <w:pStyle w:val="ListBullet2"/>
      </w:pPr>
      <w:r w:rsidRPr="00FB04D6">
        <w:t>principles of water shedding</w:t>
      </w:r>
    </w:p>
    <w:p w:rsidR="00000000" w:rsidRPr="00FB04D6" w:rsidP="00FB04D6">
      <w:pPr>
        <w:pStyle w:val="ListBullet2"/>
      </w:pPr>
      <w:r w:rsidRPr="00FB04D6">
        <w:t>relationship between structural components</w:t>
      </w:r>
    </w:p>
    <w:p w:rsidR="00000000" w:rsidRPr="00FB04D6" w:rsidP="00FB04D6">
      <w:pPr>
        <w:pStyle w:val="ListBullet2"/>
      </w:pPr>
      <w:r w:rsidRPr="00FB04D6">
        <w:t>building movement</w:t>
      </w:r>
    </w:p>
    <w:p w:rsidR="00000000" w:rsidRPr="00FB04D6" w:rsidP="00FB04D6">
      <w:pPr>
        <w:pStyle w:val="ListBullet2"/>
      </w:pPr>
      <w:r w:rsidRPr="00FB04D6">
        <w:t>wind loadings</w:t>
      </w:r>
    </w:p>
    <w:p w:rsidR="00000000" w:rsidRPr="00FB04D6" w:rsidP="00FB04D6">
      <w:pPr>
        <w:pStyle w:val="ListBullet2"/>
      </w:pPr>
      <w:r w:rsidRPr="00FB04D6">
        <w:t>construction materials and their properties</w:t>
      </w:r>
    </w:p>
    <w:p w:rsidR="00000000" w:rsidRPr="00FB04D6" w:rsidP="00FB04D6">
      <w:pPr>
        <w:pStyle w:val="ListBullet"/>
      </w:pPr>
      <w:r w:rsidRPr="00FB04D6">
        <w:t>NCC performance requirements relevant to areas tested, including:</w:t>
      </w:r>
    </w:p>
    <w:p w:rsidR="00000000" w:rsidRPr="00FB04D6" w:rsidP="00FB04D6">
      <w:pPr>
        <w:pStyle w:val="ListBullet2"/>
      </w:pPr>
      <w:r w:rsidRPr="00FB04D6">
        <w:t>waterproofing</w:t>
      </w:r>
    </w:p>
    <w:p w:rsidR="00000000" w:rsidRPr="00FB04D6" w:rsidP="00FB04D6">
      <w:pPr>
        <w:pStyle w:val="ListBullet2"/>
      </w:pPr>
      <w:r w:rsidRPr="00FB04D6">
        <w:t>damp proofing</w:t>
      </w:r>
    </w:p>
    <w:p w:rsidR="00000000" w:rsidRPr="00FB04D6" w:rsidP="00FB04D6">
      <w:pPr>
        <w:pStyle w:val="ListBullet2"/>
      </w:pPr>
      <w:r w:rsidRPr="00FB04D6">
        <w:t>condensation management</w:t>
      </w:r>
    </w:p>
    <w:p w:rsidR="00000000" w:rsidRPr="00FB04D6" w:rsidP="00FB04D6">
      <w:pPr>
        <w:pStyle w:val="ListBullet"/>
      </w:pPr>
      <w:r w:rsidRPr="00FB04D6">
        <w:t>NCC evidence of suitability in relation to waterproofing system performance, including:</w:t>
      </w:r>
    </w:p>
    <w:p w:rsidR="00000000" w:rsidRPr="00FB04D6" w:rsidP="00FB04D6">
      <w:pPr>
        <w:pStyle w:val="ListBullet2"/>
      </w:pPr>
      <w:r w:rsidRPr="00FB04D6">
        <w:t>independent test reports</w:t>
      </w:r>
    </w:p>
    <w:p w:rsidR="00000000" w:rsidRPr="00FB04D6" w:rsidP="00FB04D6">
      <w:pPr>
        <w:pStyle w:val="ListBullet2"/>
      </w:pPr>
      <w:r w:rsidRPr="00FB04D6">
        <w:t>CodeMark Australia</w:t>
      </w:r>
    </w:p>
    <w:p w:rsidR="00000000" w:rsidRPr="00FB04D6" w:rsidP="00FB04D6">
      <w:pPr>
        <w:pStyle w:val="ListBullet2"/>
      </w:pPr>
      <w:r w:rsidRPr="00FB04D6">
        <w:t>other independent testing organisations</w:t>
      </w:r>
    </w:p>
    <w:p w:rsidR="00000000" w:rsidRPr="00FB04D6" w:rsidP="00FB04D6">
      <w:pPr>
        <w:pStyle w:val="ListBullet"/>
      </w:pPr>
      <w:r w:rsidRPr="00FB04D6">
        <w:t>Australian Standards and design requirements relevant to areas inspected</w:t>
      </w:r>
    </w:p>
    <w:p w:rsidR="00000000" w:rsidRPr="00FB04D6" w:rsidP="00FB04D6">
      <w:pPr>
        <w:pStyle w:val="ListBullet"/>
      </w:pPr>
      <w:r w:rsidRPr="00FB04D6">
        <w:t>waterproofing system manufacturers’ requirements, including:</w:t>
      </w:r>
    </w:p>
    <w:p w:rsidR="00000000" w:rsidRPr="00FB04D6" w:rsidP="00FB04D6">
      <w:pPr>
        <w:pStyle w:val="ListBullet2"/>
      </w:pPr>
      <w:r w:rsidRPr="00FB04D6">
        <w:t>data sheets and specifications</w:t>
      </w:r>
    </w:p>
    <w:p w:rsidR="00000000" w:rsidRPr="00FB04D6" w:rsidP="00FB04D6">
      <w:pPr>
        <w:pStyle w:val="ListBullet2"/>
      </w:pPr>
      <w:r w:rsidRPr="00FB04D6">
        <w:t>installation method statements</w:t>
      </w:r>
    </w:p>
    <w:p w:rsidR="00000000" w:rsidRPr="00FB04D6" w:rsidP="00FB04D6">
      <w:pPr>
        <w:pStyle w:val="ListBullet2"/>
      </w:pPr>
      <w:r w:rsidRPr="00FB04D6">
        <w:t>performance of sys</w:t>
      </w:r>
      <w:r w:rsidRPr="00FB04D6">
        <w:t>tem according to service conditions</w:t>
      </w:r>
    </w:p>
    <w:p w:rsidR="00000000" w:rsidRPr="00FB04D6" w:rsidP="00FB04D6">
      <w:pPr>
        <w:pStyle w:val="ListBullet2"/>
      </w:pPr>
      <w:r w:rsidRPr="00FB04D6">
        <w:t>suitability of materials as fit for purpose</w:t>
      </w:r>
    </w:p>
    <w:p w:rsidR="00000000" w:rsidRPr="00FB04D6" w:rsidP="00FB04D6">
      <w:pPr>
        <w:pStyle w:val="ListBullet2"/>
      </w:pPr>
      <w:r w:rsidRPr="00FB04D6">
        <w:t>compatibility of components within the system</w:t>
      </w:r>
    </w:p>
    <w:p w:rsidR="00000000" w:rsidRPr="00FB04D6" w:rsidP="00FB04D6">
      <w:pPr>
        <w:pStyle w:val="ListBullet"/>
      </w:pPr>
      <w:r w:rsidRPr="00FB04D6">
        <w:t>stakeholders:</w:t>
      </w:r>
    </w:p>
    <w:p w:rsidR="00000000" w:rsidRPr="00FB04D6" w:rsidP="00FB04D6">
      <w:pPr>
        <w:pStyle w:val="ListBullet2"/>
      </w:pPr>
      <w:r w:rsidRPr="00FB04D6">
        <w:t>architect</w:t>
      </w:r>
    </w:p>
    <w:p w:rsidR="00000000" w:rsidRPr="00FB04D6" w:rsidP="00FB04D6">
      <w:pPr>
        <w:pStyle w:val="ListBullet2"/>
      </w:pPr>
      <w:r w:rsidRPr="00FB04D6">
        <w:t>engineer</w:t>
      </w:r>
    </w:p>
    <w:p w:rsidR="00000000" w:rsidRPr="00FB04D6" w:rsidP="00FB04D6">
      <w:pPr>
        <w:pStyle w:val="ListBullet2"/>
      </w:pPr>
      <w:r w:rsidRPr="00FB04D6">
        <w:t>builder</w:t>
      </w:r>
    </w:p>
    <w:p w:rsidR="00000000" w:rsidRPr="00FB04D6" w:rsidP="00FB04D6">
      <w:pPr>
        <w:pStyle w:val="ListBullet2"/>
      </w:pPr>
      <w:r w:rsidRPr="00FB04D6">
        <w:t>building owner</w:t>
      </w:r>
    </w:p>
    <w:p w:rsidR="00000000" w:rsidRPr="00FB04D6" w:rsidP="00FB04D6">
      <w:pPr>
        <w:pStyle w:val="ListBullet2"/>
      </w:pPr>
      <w:r w:rsidRPr="00FB04D6">
        <w:t>consumer</w:t>
      </w:r>
    </w:p>
    <w:p w:rsidR="00000000" w:rsidRPr="00FB04D6" w:rsidP="00FB04D6">
      <w:pPr>
        <w:pStyle w:val="ListBullet2"/>
      </w:pPr>
      <w:r w:rsidRPr="00FB04D6">
        <w:t>design team</w:t>
      </w:r>
    </w:p>
    <w:p w:rsidR="00000000" w:rsidRPr="00FB04D6" w:rsidP="00FB04D6">
      <w:pPr>
        <w:pStyle w:val="ListBullet2"/>
      </w:pPr>
      <w:r w:rsidRPr="00FB04D6">
        <w:t>construction team</w:t>
      </w:r>
    </w:p>
    <w:p w:rsidR="00000000" w:rsidRPr="00FB04D6" w:rsidP="00FB04D6">
      <w:pPr>
        <w:pStyle w:val="ListBullet2"/>
      </w:pPr>
      <w:r w:rsidRPr="00FB04D6">
        <w:t>certifier</w:t>
      </w:r>
    </w:p>
    <w:p w:rsidR="00000000" w:rsidRPr="00FB04D6" w:rsidP="00FB04D6">
      <w:pPr>
        <w:pStyle w:val="ListBullet2"/>
      </w:pPr>
      <w:r w:rsidRPr="00FB04D6">
        <w:t>building surveyor</w:t>
      </w:r>
    </w:p>
    <w:p w:rsidR="00000000" w:rsidRPr="00FB04D6" w:rsidP="00FB04D6">
      <w:pPr>
        <w:pStyle w:val="ListBullet2"/>
      </w:pPr>
      <w:r w:rsidRPr="00FB04D6">
        <w:t>regulators</w:t>
      </w:r>
    </w:p>
    <w:p w:rsidR="00000000" w:rsidRPr="00FB04D6" w:rsidP="00FB04D6">
      <w:pPr>
        <w:pStyle w:val="ListBullet"/>
      </w:pPr>
      <w:r w:rsidRPr="00FB04D6">
        <w:t>report content and communication of findings, including:</w:t>
      </w:r>
    </w:p>
    <w:p w:rsidR="00000000" w:rsidRPr="00FB04D6" w:rsidP="00FB04D6">
      <w:pPr>
        <w:pStyle w:val="ListBullet2"/>
      </w:pPr>
      <w:r w:rsidRPr="00FB04D6">
        <w:t xml:space="preserve">types of diagnostic reports and structures </w:t>
      </w:r>
    </w:p>
    <w:p w:rsidR="00000000" w:rsidRPr="00FB04D6" w:rsidP="00FB04D6">
      <w:pPr>
        <w:pStyle w:val="ListBullet2"/>
      </w:pPr>
      <w:r w:rsidRPr="00FB04D6">
        <w:t xml:space="preserve">tables and diagrams </w:t>
      </w:r>
    </w:p>
    <w:p w:rsidR="00000000" w:rsidRPr="00FB04D6" w:rsidP="00FB04D6">
      <w:pPr>
        <w:pStyle w:val="ListBullet2"/>
      </w:pPr>
      <w:r w:rsidRPr="00FB04D6">
        <w:t>photographic evidence</w:t>
      </w:r>
    </w:p>
    <w:p w:rsidR="00000000" w:rsidRPr="00FB04D6" w:rsidP="00FB04D6">
      <w:pPr>
        <w:pStyle w:val="ListBullet2"/>
      </w:pPr>
      <w:r w:rsidRPr="00FB04D6">
        <w:t>interpreting test results</w:t>
      </w:r>
    </w:p>
    <w:p w:rsidR="00000000" w:rsidRPr="00FB04D6" w:rsidP="00FB04D6">
      <w:pPr>
        <w:pStyle w:val="ListBullet2"/>
      </w:pPr>
      <w:r w:rsidRPr="00FB04D6">
        <w:t>references to Australian Standards and designs</w:t>
      </w:r>
    </w:p>
    <w:p w:rsidR="00000000" w:rsidRPr="00FB04D6" w:rsidP="00FB04D6">
      <w:pPr>
        <w:pStyle w:val="ListBullet2"/>
      </w:pPr>
      <w:r w:rsidRPr="00FB04D6">
        <w:t>verbal communication strategies</w:t>
      </w:r>
    </w:p>
    <w:p w:rsidR="00000000" w:rsidRPr="00FB04D6" w:rsidP="00FB04D6">
      <w:pPr>
        <w:pStyle w:val="ListBullet2"/>
      </w:pPr>
      <w:r w:rsidRPr="00FB04D6">
        <w:t>different audiences</w:t>
      </w:r>
    </w:p>
    <w:p w:rsidR="00000000" w:rsidRPr="00FB04D6" w:rsidP="00FB04D6">
      <w:pPr>
        <w:pStyle w:val="ListBullet2"/>
      </w:pPr>
      <w:r w:rsidRPr="00FB04D6">
        <w:t>presenting evidence.</w:t>
      </w:r>
    </w:p>
    <w:p w:rsidR="00000000" w:rsidRPr="00FB04D6" w:rsidP="00FB04D6">
      <w:pPr>
        <w:pStyle w:val="AllowPageBreak"/>
      </w:pPr>
    </w:p>
    <w:p w:rsidR="00000000" w:rsidRPr="00FB04D6" w:rsidP="00FB04D6">
      <w:pPr>
        <w:pStyle w:val="Heading1"/>
      </w:pPr>
      <w:bookmarkStart w:id="4" w:name="O_1260466"/>
      <w:bookmarkEnd w:id="4"/>
      <w:r w:rsidRPr="00FB04D6">
        <w:t>Assessment Conditions</w:t>
      </w:r>
    </w:p>
    <w:p w:rsidR="00000000" w:rsidRPr="00FB04D6" w:rsidP="004E1E96">
      <w:pPr>
        <w:pStyle w:val="BodyText"/>
      </w:pPr>
      <w:r w:rsidRPr="00FB04D6">
        <w:t>Assessors must meet the requirements for assessors contained in the Standards for Registered Training Organisations.</w:t>
      </w:r>
    </w:p>
    <w:p w:rsidR="00000000" w:rsidRPr="00FB04D6" w:rsidP="004E1E96">
      <w:pPr>
        <w:pStyle w:val="BodyText"/>
      </w:pPr>
      <w:r w:rsidRPr="00FB04D6">
        <w:t>Assessment of performance</w:t>
      </w:r>
      <w:r w:rsidRPr="00FB04D6">
        <w:t xml:space="preserve"> must be undertaken in the workplace or simulated workplace environment. A simulated workplace is one that fully replicates the resources, environment and any time and productivity pressures that exist in the actual workplace, and which meets industry stan</w:t>
      </w:r>
      <w:r w:rsidRPr="00FB04D6">
        <w:t>dards for safety and environmental practices.</w:t>
      </w:r>
    </w:p>
    <w:p w:rsidR="00000000" w:rsidRPr="00FB04D6" w:rsidP="004E1E96">
      <w:pPr>
        <w:pStyle w:val="BodyText"/>
      </w:pPr>
      <w:r w:rsidRPr="00FB04D6">
        <w:t>Candidates must have access to:</w:t>
      </w:r>
    </w:p>
    <w:p w:rsidR="00000000" w:rsidRPr="00FB04D6" w:rsidP="00FB04D6">
      <w:pPr>
        <w:pStyle w:val="ListBullet"/>
      </w:pPr>
      <w:r w:rsidRPr="00FB04D6">
        <w:t xml:space="preserve">relevant tasks </w:t>
      </w:r>
    </w:p>
    <w:p w:rsidR="00000000" w:rsidRPr="00FB04D6" w:rsidP="00FB04D6">
      <w:pPr>
        <w:pStyle w:val="ListBullet"/>
      </w:pPr>
      <w:r w:rsidRPr="00FB04D6">
        <w:t>Australian Standards, relevant building legislation, industry codes, NCC and requirements of workplace policies and procedures as required by Commonwealth, state</w:t>
      </w:r>
      <w:r w:rsidRPr="00FB04D6">
        <w:t xml:space="preserve"> and territory regulators </w:t>
      </w:r>
    </w:p>
    <w:p w:rsidR="00000000" w:rsidRPr="00FB04D6" w:rsidP="00FB04D6">
      <w:pPr>
        <w:pStyle w:val="ListBullet"/>
      </w:pPr>
      <w:r w:rsidRPr="00FB04D6">
        <w:t>relevant environmental requirements.</w:t>
      </w:r>
    </w:p>
    <w:p w:rsidR="00000000" w:rsidRPr="00FB04D6" w:rsidP="00FB04D6">
      <w:pPr>
        <w:pStyle w:val="AllowPageBreak"/>
      </w:pPr>
    </w:p>
    <w:p w:rsidR="00000000" w:rsidRPr="00FB04D6" w:rsidP="00FB04D6">
      <w:pPr>
        <w:pStyle w:val="Heading1"/>
      </w:pPr>
      <w:bookmarkStart w:id="5" w:name="O_1260462"/>
      <w:bookmarkEnd w:id="5"/>
      <w:r w:rsidRPr="00FB04D6">
        <w:t>Links</w:t>
      </w:r>
    </w:p>
    <w:p w:rsidR="00000000" w:rsidRPr="00FB04D6" w:rsidP="004E1E96">
      <w:pPr>
        <w:pStyle w:val="BodyText"/>
      </w:pPr>
      <w:r w:rsidRPr="00FB04D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71CC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B04D6" w:rsidP="00FB04D6"/>
    <w:sectPr w:rsidSect="00FB04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4D6" w:rsidRPr="004E1E96" w:rsidP="004E1E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E96" w:rsidP="00FB0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1E96" w:rsidP="00FB0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E1E96" w:rsidP="00FB0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E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4D6" w:rsidRPr="004E1E96" w:rsidP="004E1E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E96" w:rsidRPr="002D2AF8" w:rsidP="00FB0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CPCCWP5004 Determine origin of water and moisture ingress into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E1E96" w:rsidP="00FB0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DE7A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761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E6D8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4D6"/>
  </w:style>
  <w:style w:type="character" w:customStyle="1" w:styleId="Heading1Char">
    <w:name w:val="Heading 1 Char"/>
    <w:basedOn w:val="DefaultParagraphFont"/>
    <w:link w:val="Heading1"/>
    <w:rsid w:val="00FB0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4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4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4D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04D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0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04D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0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4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4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04D6"/>
    <w:rPr>
      <w:b/>
      <w:spacing w:val="0"/>
    </w:rPr>
  </w:style>
  <w:style w:type="paragraph" w:customStyle="1" w:styleId="SuperTitle">
    <w:name w:val="SuperTitle"/>
    <w:basedOn w:val="Title"/>
    <w:rsid w:val="00FB0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0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4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4D6"/>
    <w:rPr>
      <w:i/>
    </w:rPr>
  </w:style>
  <w:style w:type="paragraph" w:styleId="Caption">
    <w:name w:val="caption"/>
    <w:basedOn w:val="BodyText"/>
    <w:next w:val="Normal"/>
    <w:qFormat/>
    <w:rsid w:val="00FB0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4D6"/>
  </w:style>
  <w:style w:type="paragraph" w:styleId="TableofFigures">
    <w:name w:val="table of figures"/>
    <w:basedOn w:val="Normal"/>
    <w:next w:val="Normal"/>
    <w:semiHidden/>
    <w:rsid w:val="00FB0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4D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04D6"/>
    <w:rPr>
      <w:rFonts w:ascii="Wingdings" w:hAnsi="Wingdings"/>
    </w:rPr>
  </w:style>
  <w:style w:type="paragraph" w:customStyle="1" w:styleId="TableHeading">
    <w:name w:val="Table Heading"/>
    <w:basedOn w:val="HeadingBase"/>
    <w:rsid w:val="00FB0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4D6"/>
    <w:rPr>
      <w:color w:val="0033CC"/>
      <w:u w:val="none"/>
    </w:rPr>
  </w:style>
  <w:style w:type="paragraph" w:customStyle="1" w:styleId="BodyTextRight">
    <w:name w:val="Body Text Right"/>
    <w:basedOn w:val="BodyText"/>
    <w:rsid w:val="00FB04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4D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4D6"/>
    <w:rPr>
      <w:sz w:val="32"/>
    </w:rPr>
  </w:style>
  <w:style w:type="paragraph" w:customStyle="1" w:styleId="HeadingProcedure">
    <w:name w:val="Heading Procedure"/>
    <w:basedOn w:val="HeadingBase"/>
    <w:next w:val="Normal"/>
    <w:rsid w:val="00FB0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4D6"/>
    <w:pPr>
      <w:spacing w:before="60" w:after="60"/>
    </w:pPr>
  </w:style>
  <w:style w:type="paragraph" w:styleId="ListContinue">
    <w:name w:val="List Continue"/>
    <w:basedOn w:val="List"/>
    <w:rsid w:val="00FB04D6"/>
    <w:pPr>
      <w:ind w:firstLine="0"/>
    </w:pPr>
  </w:style>
  <w:style w:type="paragraph" w:customStyle="1" w:styleId="ListNote">
    <w:name w:val="List Note"/>
    <w:basedOn w:val="List"/>
    <w:rsid w:val="00FB0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4D6"/>
    <w:rPr>
      <w:rFonts w:ascii="Courier New" w:hAnsi="Courier New"/>
    </w:rPr>
  </w:style>
  <w:style w:type="paragraph" w:customStyle="1" w:styleId="NoteBullet">
    <w:name w:val="Note Bullet"/>
    <w:basedOn w:val="Note"/>
    <w:rsid w:val="00FB0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4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0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4D6"/>
    <w:rPr>
      <w:b/>
      <w:smallCaps/>
    </w:rPr>
  </w:style>
  <w:style w:type="paragraph" w:customStyle="1" w:styleId="TableListNumber">
    <w:name w:val="Table List Number"/>
    <w:basedOn w:val="ListNumber"/>
    <w:rsid w:val="00FB0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4D6"/>
    <w:pPr>
      <w:numPr>
        <w:numId w:val="10"/>
      </w:numPr>
    </w:pPr>
  </w:style>
  <w:style w:type="paragraph" w:customStyle="1" w:styleId="ListAlpha2">
    <w:name w:val="List Alpha 2"/>
    <w:basedOn w:val="List2"/>
    <w:rsid w:val="00FB04D6"/>
    <w:pPr>
      <w:numPr>
        <w:numId w:val="9"/>
      </w:numPr>
    </w:pPr>
  </w:style>
  <w:style w:type="paragraph" w:styleId="List2">
    <w:name w:val="List 2"/>
    <w:basedOn w:val="BodyText"/>
    <w:rsid w:val="00FB0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4D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04D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04D6"/>
    <w:pPr>
      <w:numPr>
        <w:numId w:val="5"/>
      </w:numPr>
    </w:pPr>
  </w:style>
  <w:style w:type="paragraph" w:styleId="ListContinue2">
    <w:name w:val="List Continue 2"/>
    <w:basedOn w:val="List2"/>
    <w:rsid w:val="00FB04D6"/>
    <w:pPr>
      <w:ind w:firstLine="0"/>
    </w:pPr>
  </w:style>
  <w:style w:type="paragraph" w:styleId="ListContinue3">
    <w:name w:val="List Continue 3"/>
    <w:basedOn w:val="List3"/>
    <w:rsid w:val="00FB04D6"/>
    <w:pPr>
      <w:ind w:left="1021" w:firstLine="0"/>
    </w:pPr>
  </w:style>
  <w:style w:type="paragraph" w:styleId="ListContinue4">
    <w:name w:val="List Continue 4"/>
    <w:basedOn w:val="List4"/>
    <w:rsid w:val="00FB04D6"/>
    <w:pPr>
      <w:ind w:firstLine="0"/>
    </w:pPr>
  </w:style>
  <w:style w:type="paragraph" w:styleId="ListContinue5">
    <w:name w:val="List Continue 5"/>
    <w:basedOn w:val="List5"/>
    <w:rsid w:val="00FB04D6"/>
    <w:pPr>
      <w:ind w:firstLine="0"/>
    </w:pPr>
  </w:style>
  <w:style w:type="paragraph" w:styleId="ListNumber3">
    <w:name w:val="List Number 3"/>
    <w:basedOn w:val="List3"/>
    <w:rsid w:val="00FB04D6"/>
    <w:pPr>
      <w:numPr>
        <w:numId w:val="6"/>
      </w:numPr>
    </w:pPr>
  </w:style>
  <w:style w:type="paragraph" w:styleId="ListNumber4">
    <w:name w:val="List Number 4"/>
    <w:basedOn w:val="List4"/>
    <w:rsid w:val="00FB04D6"/>
    <w:pPr>
      <w:numPr>
        <w:numId w:val="7"/>
      </w:numPr>
    </w:pPr>
  </w:style>
  <w:style w:type="paragraph" w:styleId="ListNumber5">
    <w:name w:val="List Number 5"/>
    <w:basedOn w:val="List5"/>
    <w:rsid w:val="00FB04D6"/>
    <w:pPr>
      <w:numPr>
        <w:numId w:val="8"/>
      </w:numPr>
    </w:pPr>
  </w:style>
  <w:style w:type="paragraph" w:styleId="BlockText">
    <w:name w:val="Block Text"/>
    <w:basedOn w:val="Normal"/>
    <w:rsid w:val="00FB0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4D6"/>
    <w:rPr>
      <w:sz w:val="16"/>
      <w:vertAlign w:val="superscript"/>
    </w:rPr>
  </w:style>
  <w:style w:type="character" w:customStyle="1" w:styleId="Symbols">
    <w:name w:val="Symbols"/>
    <w:basedOn w:val="DefaultParagraphFont"/>
    <w:rsid w:val="00FB04D6"/>
    <w:rPr>
      <w:rFonts w:ascii="Symbol" w:hAnsi="Symbol"/>
    </w:rPr>
  </w:style>
  <w:style w:type="character" w:customStyle="1" w:styleId="MenuOptions">
    <w:name w:val="Menu Options"/>
    <w:basedOn w:val="DefaultParagraphFont"/>
    <w:rsid w:val="00FB0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4D6"/>
    <w:rPr>
      <w:b/>
    </w:rPr>
  </w:style>
  <w:style w:type="character" w:customStyle="1" w:styleId="Underlined">
    <w:name w:val="Underlined"/>
    <w:basedOn w:val="DefaultParagraphFont"/>
    <w:rsid w:val="00FB04D6"/>
    <w:rPr>
      <w:u w:val="single"/>
    </w:rPr>
  </w:style>
  <w:style w:type="paragraph" w:customStyle="1" w:styleId="TableBodyTextRight">
    <w:name w:val="Table Body Text Right"/>
    <w:basedOn w:val="TableBodyText"/>
    <w:rsid w:val="00FB0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4D6"/>
    <w:rPr>
      <w:sz w:val="18"/>
    </w:rPr>
  </w:style>
  <w:style w:type="paragraph" w:customStyle="1" w:styleId="BodySmallRight">
    <w:name w:val="Body Small Right"/>
    <w:basedOn w:val="BodyTextRight"/>
    <w:rsid w:val="00FB04D6"/>
    <w:rPr>
      <w:sz w:val="18"/>
      <w:szCs w:val="18"/>
    </w:rPr>
  </w:style>
  <w:style w:type="paragraph" w:customStyle="1" w:styleId="MarginEdition">
    <w:name w:val="Margin Edition"/>
    <w:basedOn w:val="MarginNote"/>
    <w:rsid w:val="00FB0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4D6"/>
    <w:rPr>
      <w:sz w:val="2"/>
      <w:szCs w:val="2"/>
    </w:rPr>
  </w:style>
  <w:style w:type="character" w:customStyle="1" w:styleId="Small">
    <w:name w:val="Small"/>
    <w:basedOn w:val="DefaultParagraphFont"/>
    <w:rsid w:val="00FB04D6"/>
    <w:rPr>
      <w:sz w:val="16"/>
    </w:rPr>
  </w:style>
  <w:style w:type="paragraph" w:customStyle="1" w:styleId="WideTable">
    <w:name w:val="Wide Table"/>
    <w:basedOn w:val="Normal"/>
    <w:rsid w:val="00FB0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4D6"/>
  </w:style>
  <w:style w:type="paragraph" w:styleId="Quote">
    <w:name w:val="Quote"/>
    <w:basedOn w:val="Heading1"/>
    <w:link w:val="QuoteChar"/>
    <w:qFormat/>
    <w:rsid w:val="00FB0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4D6"/>
    <w:pPr>
      <w:pageBreakBefore/>
    </w:pPr>
  </w:style>
  <w:style w:type="paragraph" w:customStyle="1" w:styleId="Border">
    <w:name w:val="Border"/>
    <w:basedOn w:val="Normal"/>
    <w:qFormat/>
    <w:rsid w:val="00FB0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4D6"/>
    <w:rPr>
      <w:u w:val="single"/>
    </w:rPr>
  </w:style>
  <w:style w:type="character" w:customStyle="1" w:styleId="BoldandItalics">
    <w:name w:val="Bold and Italics"/>
    <w:qFormat/>
    <w:rsid w:val="00FB04D6"/>
    <w:rPr>
      <w:b/>
      <w:i/>
      <w:u w:val="none"/>
    </w:rPr>
  </w:style>
  <w:style w:type="paragraph" w:styleId="BalloonText">
    <w:name w:val="Balloon Text"/>
    <w:basedOn w:val="Normal"/>
    <w:link w:val="BalloonTextChar"/>
    <w:rsid w:val="00FB0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4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4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4D6"/>
    <w:pPr>
      <w:spacing w:before="0" w:after="0"/>
    </w:pPr>
  </w:style>
  <w:style w:type="paragraph" w:customStyle="1" w:styleId="BodyTextBold">
    <w:name w:val="Body Text Bold"/>
    <w:basedOn w:val="BodyText"/>
    <w:qFormat/>
    <w:rsid w:val="00FB04D6"/>
    <w:rPr>
      <w:b/>
    </w:rPr>
  </w:style>
  <w:style w:type="character" w:styleId="Hyperlink">
    <w:name w:val="Hyperlink"/>
    <w:basedOn w:val="DefaultParagraphFont"/>
    <w:uiPriority w:val="99"/>
    <w:unhideWhenUsed/>
    <w:rsid w:val="004E1E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649</Words>
  <Characters>4498</Characters>
  <Application>Microsoft Office Word</Application>
  <DocSecurity>0</DocSecurity>
  <Lines>136</Lines>
  <Paragraphs>119</Paragraphs>
  <ScaleCrop>false</ScaleCrop>
  <Company>Author-it Software Corporation Ltd.</Company>
  <LinksUpToDate>false</LinksUpToDate>
  <CharactersWithSpaces>5028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CPCCWP5004 Determine origin of water and moisture ingress into buildings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2024-12-24T00:55:00Z</dcterms:created>
  <dcterms:modified xsi:type="dcterms:W3CDTF">2024-12-24T00:56:00Z</dcterms:modified>
</cp:coreProperties>
</file>