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29644F" w:rsidP="0029644F">
      <w:pPr>
        <w:pStyle w:val="Title"/>
      </w:pPr>
      <w:r>
        <w:fldChar w:fldCharType="begin"/>
      </w:r>
      <w:r>
        <w:instrText xml:space="preserve"> TITLE   \* MERGEFORMAT </w:instrText>
      </w:r>
      <w:r>
        <w:fldChar w:fldCharType="separate"/>
      </w:r>
      <w:r>
        <w:t>CPCCWP5003 Design waterproofing to internal wet area</w:t>
      </w:r>
      <w:r>
        <w:fldChar w:fldCharType="end"/>
      </w:r>
    </w:p>
    <w:p w:rsidR="0029644F" w:rsidP="0029644F">
      <w:pPr>
        <w:pStyle w:val="Version"/>
        <w:sectPr w:rsidSect="00DE07B8">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DE07B8" w:rsidP="00DE07B8">
      <w:pPr>
        <w:pStyle w:val="SuperHeading"/>
      </w:pPr>
      <w:r w:rsidRPr="00DE07B8">
        <w:t>CPCCWP5003 Design waterproofing to internal wet area</w:t>
      </w:r>
    </w:p>
    <w:p w:rsidR="00000000" w:rsidRPr="00DE07B8" w:rsidP="00DE07B8">
      <w:pPr>
        <w:pStyle w:val="Heading1"/>
      </w:pPr>
      <w:bookmarkStart w:id="1" w:name="O_1260369"/>
      <w:bookmarkEnd w:id="1"/>
      <w:r w:rsidRPr="00DE07B8">
        <w:t>Modification History</w:t>
      </w:r>
    </w:p>
    <w:tbl>
      <w:tblPr>
        <w:tblW w:w="0" w:type="auto"/>
        <w:tblLayout w:type="fixed"/>
        <w:tblCellMar>
          <w:left w:w="62" w:type="dxa"/>
          <w:right w:w="62" w:type="dxa"/>
        </w:tblCellMar>
        <w:tblLook w:val="0000"/>
      </w:tblPr>
      <w:tblGrid>
        <w:gridCol w:w="1066"/>
        <w:gridCol w:w="7944"/>
      </w:tblGrid>
      <w:tr w:rsidTr="00DE07B8">
        <w:tblPrEx>
          <w:tblW w:w="0" w:type="auto"/>
          <w:tblLayout w:type="fixed"/>
          <w:tblCellMar>
            <w:left w:w="62" w:type="dxa"/>
            <w:right w:w="62" w:type="dxa"/>
          </w:tblCellMar>
          <w:tblLook w:val="0000"/>
        </w:tblPrEx>
        <w:tc>
          <w:tcPr>
            <w:tcW w:w="1066" w:type="dxa"/>
            <w:tcBorders>
              <w:top w:val="nil"/>
              <w:left w:val="nil"/>
              <w:bottom w:val="nil"/>
              <w:right w:val="nil"/>
            </w:tcBorders>
            <w:tcMar>
              <w:top w:w="0" w:type="dxa"/>
              <w:left w:w="62" w:type="dxa"/>
              <w:bottom w:w="0" w:type="dxa"/>
              <w:right w:w="62" w:type="dxa"/>
            </w:tcMar>
          </w:tcPr>
          <w:p w:rsidR="00000000" w:rsidP="00DE07B8">
            <w:pPr>
              <w:pStyle w:val="BodyText"/>
              <w:rPr>
                <w:lang w:val="en-NZ"/>
              </w:rPr>
            </w:pPr>
            <w:r w:rsidRPr="00DE07B8">
              <w:t>Release 1</w:t>
            </w:r>
          </w:p>
        </w:tc>
        <w:tc>
          <w:tcPr>
            <w:tcW w:w="7944" w:type="dxa"/>
            <w:tcBorders>
              <w:top w:val="nil"/>
              <w:left w:val="nil"/>
              <w:bottom w:val="nil"/>
              <w:right w:val="nil"/>
            </w:tcBorders>
            <w:tcMar>
              <w:top w:w="0" w:type="dxa"/>
              <w:left w:w="62" w:type="dxa"/>
              <w:bottom w:w="0" w:type="dxa"/>
              <w:right w:w="62" w:type="dxa"/>
            </w:tcMar>
          </w:tcPr>
          <w:p w:rsidR="00000000" w:rsidRPr="00DE07B8" w:rsidP="00DE07B8">
            <w:pPr>
              <w:pStyle w:val="BodyText"/>
            </w:pPr>
            <w:r w:rsidRPr="00DE07B8">
              <w:t>This version first released with CPC Construction, Plumbing and Services Training Package Release 9.0.</w:t>
            </w:r>
          </w:p>
          <w:p w:rsidR="00000000" w:rsidRPr="00DE07B8" w:rsidP="00DE07B8">
            <w:pPr>
              <w:pStyle w:val="BodyText"/>
            </w:pPr>
            <w:r w:rsidRPr="00DE07B8">
              <w:t>Newly created unit.</w:t>
            </w:r>
          </w:p>
        </w:tc>
      </w:tr>
    </w:tbl>
    <w:p w:rsidR="00000000" w:rsidRPr="00DE07B8" w:rsidP="00DE07B8">
      <w:pPr>
        <w:pStyle w:val="BodyText"/>
      </w:pPr>
    </w:p>
    <w:p w:rsidR="00000000" w:rsidRPr="00DE07B8" w:rsidP="00DE07B8">
      <w:pPr>
        <w:pStyle w:val="AllowPageBreak"/>
      </w:pPr>
    </w:p>
    <w:p w:rsidR="00000000" w:rsidRPr="00DE07B8" w:rsidP="00DE07B8">
      <w:pPr>
        <w:pStyle w:val="Heading1"/>
      </w:pPr>
      <w:bookmarkStart w:id="2" w:name="O_1260375"/>
      <w:bookmarkEnd w:id="2"/>
      <w:r w:rsidRPr="00DE07B8">
        <w:t>Application</w:t>
      </w:r>
    </w:p>
    <w:p w:rsidR="00000000" w:rsidRPr="00DE07B8" w:rsidP="0029644F">
      <w:pPr>
        <w:pStyle w:val="BodyText"/>
      </w:pPr>
      <w:r w:rsidRPr="00DE07B8">
        <w:t>This unit of competency specifies the skills and k</w:t>
      </w:r>
      <w:r w:rsidRPr="00DE07B8">
        <w:t xml:space="preserve">nowledge required for designing waterproofing systems to internal wet areas for buildings. </w:t>
      </w:r>
    </w:p>
    <w:p w:rsidR="00000000" w:rsidRPr="00DE07B8" w:rsidP="0029644F">
      <w:pPr>
        <w:pStyle w:val="BodyText"/>
      </w:pPr>
      <w:r w:rsidRPr="00DE07B8">
        <w:t>The unit applies to Class 1 and 10 Buildings, and Class 2 to 9 Buildings.</w:t>
      </w:r>
    </w:p>
    <w:p w:rsidR="00000000" w:rsidRPr="00DE07B8" w:rsidP="0029644F">
      <w:pPr>
        <w:pStyle w:val="BodyText"/>
      </w:pPr>
      <w:r w:rsidRPr="00DE07B8">
        <w:t xml:space="preserve">The unit includes planning and preparing to design waterproofing systems, analysing risk, </w:t>
      </w:r>
      <w:r w:rsidRPr="00DE07B8">
        <w:t xml:space="preserve">designing waterproofing and evaluating the design of the waterproofing system solution. </w:t>
      </w:r>
    </w:p>
    <w:p w:rsidR="00000000" w:rsidRPr="00DE07B8" w:rsidP="0029644F">
      <w:pPr>
        <w:pStyle w:val="BodyText"/>
      </w:pPr>
      <w:r w:rsidRPr="00DE07B8">
        <w:t>The unit is suitable for builders, building designers, architects, building surveyors, waterproofing design specialists and consultants, engineers and other design spe</w:t>
      </w:r>
      <w:r w:rsidRPr="00DE07B8">
        <w:t>cialists.</w:t>
      </w:r>
    </w:p>
    <w:p w:rsidR="00000000" w:rsidRPr="00DE07B8" w:rsidP="0029644F">
      <w:pPr>
        <w:pStyle w:val="BodyText"/>
      </w:pPr>
      <w:r w:rsidRPr="00DE07B8">
        <w:t>Licensing, legislative, regulatory or certification requirements may apply to this unit. Relevant work health and safety (WHS) state and territory regulatory authorities should be consulted to confirm jurisdictional requirements.</w:t>
      </w:r>
    </w:p>
    <w:p w:rsidR="00000000" w:rsidRPr="00DE07B8" w:rsidP="00DE07B8">
      <w:pPr>
        <w:pStyle w:val="Heading1"/>
      </w:pPr>
      <w:bookmarkStart w:id="3" w:name="O_1260374"/>
      <w:bookmarkEnd w:id="3"/>
      <w:r w:rsidRPr="00DE07B8">
        <w:t>Pre-requisite Unit</w:t>
      </w:r>
    </w:p>
    <w:p w:rsidR="00000000" w:rsidRPr="00DE07B8" w:rsidP="0029644F">
      <w:pPr>
        <w:pStyle w:val="BodyText"/>
      </w:pPr>
      <w:r w:rsidRPr="00DE07B8">
        <w:t>Nil.</w:t>
      </w:r>
    </w:p>
    <w:p w:rsidR="00000000" w:rsidRPr="00DE07B8" w:rsidP="00DE07B8">
      <w:pPr>
        <w:pStyle w:val="Heading1"/>
      </w:pPr>
      <w:bookmarkStart w:id="4" w:name="O_1260373"/>
      <w:bookmarkEnd w:id="4"/>
      <w:r w:rsidRPr="00DE07B8">
        <w:t>Unit Sector</w:t>
      </w:r>
    </w:p>
    <w:p w:rsidR="0029644F" w:rsidP="0029644F">
      <w:pPr>
        <w:pStyle w:val="BodyText"/>
      </w:pPr>
      <w:r w:rsidRPr="00DE07B8">
        <w:t>Building and Construction</w:t>
      </w:r>
    </w:p>
    <w:p w:rsidR="00000000" w:rsidRPr="00DE07B8" w:rsidP="00DE07B8">
      <w:pPr>
        <w:pStyle w:val="Heading1"/>
      </w:pPr>
      <w:bookmarkStart w:id="5" w:name="O_1260372"/>
      <w:bookmarkEnd w:id="5"/>
      <w:r w:rsidRPr="00DE07B8">
        <w:t>Elements and Performance Criteria</w:t>
      </w:r>
    </w:p>
    <w:tbl>
      <w:tblPr>
        <w:tblW w:w="0" w:type="auto"/>
        <w:tblLayout w:type="fixed"/>
        <w:tblCellMar>
          <w:left w:w="62" w:type="dxa"/>
          <w:right w:w="62" w:type="dxa"/>
        </w:tblCellMar>
        <w:tblLook w:val="0000"/>
      </w:tblPr>
      <w:tblGrid>
        <w:gridCol w:w="313"/>
        <w:gridCol w:w="2357"/>
        <w:gridCol w:w="804"/>
        <w:gridCol w:w="5659"/>
      </w:tblGrid>
      <w:tr w:rsidTr="00DE07B8">
        <w:tblPrEx>
          <w:tblW w:w="0" w:type="auto"/>
          <w:tblLayout w:type="fixed"/>
          <w:tblCellMar>
            <w:left w:w="62" w:type="dxa"/>
            <w:right w:w="62" w:type="dxa"/>
          </w:tblCellMar>
          <w:tblLook w:val="0000"/>
        </w:tblPrEx>
        <w:tc>
          <w:tcPr>
            <w:tcW w:w="2670" w:type="dxa"/>
            <w:gridSpan w:val="2"/>
            <w:tcBorders>
              <w:top w:val="nil"/>
              <w:left w:val="nil"/>
              <w:bottom w:val="nil"/>
              <w:right w:val="nil"/>
            </w:tcBorders>
            <w:tcMar>
              <w:top w:w="0" w:type="dxa"/>
              <w:left w:w="62" w:type="dxa"/>
              <w:bottom w:w="0" w:type="dxa"/>
              <w:right w:w="62" w:type="dxa"/>
            </w:tcMar>
          </w:tcPr>
          <w:p w:rsidR="00000000" w:rsidP="00DE07B8">
            <w:pPr>
              <w:pStyle w:val="BodyText"/>
              <w:rPr>
                <w:lang w:val="en-NZ"/>
              </w:rPr>
            </w:pPr>
            <w:r w:rsidRPr="00DE07B8">
              <w:t>Elements describe the essential outcomes.</w:t>
            </w:r>
          </w:p>
        </w:tc>
        <w:tc>
          <w:tcPr>
            <w:tcW w:w="6463" w:type="dxa"/>
            <w:gridSpan w:val="2"/>
            <w:tcBorders>
              <w:top w:val="nil"/>
              <w:left w:val="nil"/>
              <w:bottom w:val="nil"/>
              <w:right w:val="nil"/>
            </w:tcBorders>
            <w:tcMar>
              <w:top w:w="0" w:type="dxa"/>
              <w:left w:w="62" w:type="dxa"/>
              <w:bottom w:w="0" w:type="dxa"/>
              <w:right w:w="62" w:type="dxa"/>
            </w:tcMar>
          </w:tcPr>
          <w:p w:rsidR="00000000" w:rsidP="00DE07B8">
            <w:pPr>
              <w:pStyle w:val="BodyText"/>
              <w:rPr>
                <w:lang w:val="en-NZ"/>
              </w:rPr>
            </w:pPr>
            <w:r w:rsidRPr="00DE07B8">
              <w:t>Performance criteria describe what needs to be done to demonstrate achievement of the element.</w:t>
            </w:r>
          </w:p>
        </w:tc>
      </w:tr>
      <w:tr w:rsidTr="00DE07B8">
        <w:tblPrEx>
          <w:tblW w:w="0" w:type="auto"/>
          <w:tblLayout w:type="fixed"/>
          <w:tblCellMar>
            <w:left w:w="62" w:type="dxa"/>
            <w:right w:w="62" w:type="dxa"/>
          </w:tblCellMar>
          <w:tblLook w:val="0000"/>
        </w:tblPrEx>
        <w:tc>
          <w:tcPr>
            <w:tcW w:w="313" w:type="dxa"/>
            <w:vMerge w:val="restart"/>
            <w:tcBorders>
              <w:top w:val="nil"/>
              <w:left w:val="nil"/>
              <w:bottom w:val="nil"/>
              <w:right w:val="nil"/>
            </w:tcBorders>
            <w:tcMar>
              <w:top w:w="0" w:type="dxa"/>
              <w:left w:w="62" w:type="dxa"/>
              <w:bottom w:w="0" w:type="dxa"/>
              <w:right w:w="62" w:type="dxa"/>
            </w:tcMar>
          </w:tcPr>
          <w:p w:rsidR="00000000" w:rsidP="00DE07B8">
            <w:pPr>
              <w:pStyle w:val="BodyText"/>
              <w:rPr>
                <w:lang w:val="en-NZ"/>
              </w:rPr>
            </w:pPr>
            <w:r w:rsidRPr="00DE07B8">
              <w:t>1.</w:t>
            </w:r>
          </w:p>
        </w:tc>
        <w:tc>
          <w:tcPr>
            <w:tcW w:w="2357" w:type="dxa"/>
            <w:vMerge w:val="restart"/>
            <w:tcBorders>
              <w:top w:val="nil"/>
              <w:left w:val="nil"/>
              <w:bottom w:val="nil"/>
              <w:right w:val="nil"/>
            </w:tcBorders>
            <w:tcMar>
              <w:top w:w="0" w:type="dxa"/>
              <w:left w:w="62" w:type="dxa"/>
              <w:bottom w:w="0" w:type="dxa"/>
              <w:right w:w="62" w:type="dxa"/>
            </w:tcMar>
          </w:tcPr>
          <w:p w:rsidR="00000000" w:rsidP="00DE07B8">
            <w:pPr>
              <w:pStyle w:val="BodyText"/>
              <w:rPr>
                <w:lang w:val="en-NZ"/>
              </w:rPr>
            </w:pPr>
            <w:r w:rsidRPr="00DE07B8">
              <w:t>Plan and prepare.</w:t>
            </w:r>
          </w:p>
        </w:tc>
        <w:tc>
          <w:tcPr>
            <w:tcW w:w="804" w:type="dxa"/>
            <w:tcBorders>
              <w:top w:val="nil"/>
              <w:left w:val="nil"/>
              <w:bottom w:val="nil"/>
              <w:right w:val="nil"/>
            </w:tcBorders>
            <w:tcMar>
              <w:top w:w="0" w:type="dxa"/>
              <w:left w:w="62" w:type="dxa"/>
              <w:bottom w:w="0" w:type="dxa"/>
              <w:right w:w="62" w:type="dxa"/>
            </w:tcMar>
          </w:tcPr>
          <w:p w:rsidR="00000000" w:rsidP="00DE07B8">
            <w:pPr>
              <w:pStyle w:val="BodyText"/>
              <w:rPr>
                <w:lang w:val="en-NZ"/>
              </w:rPr>
            </w:pPr>
            <w:r w:rsidRPr="00DE07B8">
              <w:t>1.1</w:t>
            </w:r>
          </w:p>
        </w:tc>
        <w:tc>
          <w:tcPr>
            <w:tcW w:w="5659" w:type="dxa"/>
            <w:tcBorders>
              <w:top w:val="nil"/>
              <w:left w:val="nil"/>
              <w:bottom w:val="nil"/>
              <w:right w:val="nil"/>
            </w:tcBorders>
            <w:tcMar>
              <w:top w:w="0" w:type="dxa"/>
              <w:left w:w="62" w:type="dxa"/>
              <w:bottom w:w="0" w:type="dxa"/>
              <w:right w:w="62" w:type="dxa"/>
            </w:tcMar>
          </w:tcPr>
          <w:p w:rsidR="00000000" w:rsidP="00DE07B8">
            <w:pPr>
              <w:pStyle w:val="BodyText"/>
              <w:rPr>
                <w:lang w:val="en-NZ"/>
              </w:rPr>
            </w:pPr>
            <w:r w:rsidRPr="00DE07B8">
              <w:t xml:space="preserve">Identify internal wet areas and waterproofing requirements in accordance with National Construction </w:t>
            </w:r>
            <w:r w:rsidRPr="00DE07B8">
              <w:t>Code (NCC) and from drawings and s</w:t>
            </w:r>
            <w:r w:rsidRPr="00DE07B8">
              <w:t>pecifications.</w:t>
            </w:r>
          </w:p>
        </w:tc>
      </w:tr>
      <w:tr w:rsidTr="00DE07B8">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DE07B8">
            <w:pPr>
              <w:pStyle w:val="BodyText"/>
              <w:rPr>
                <w:lang w:val="en-NZ"/>
              </w:rPr>
            </w:pPr>
            <w:r w:rsidRPr="00DE07B8">
              <w:t>1.2</w:t>
            </w:r>
          </w:p>
        </w:tc>
        <w:tc>
          <w:tcPr>
            <w:tcW w:w="5659" w:type="dxa"/>
            <w:tcBorders>
              <w:top w:val="nil"/>
              <w:left w:val="nil"/>
              <w:bottom w:val="nil"/>
              <w:right w:val="nil"/>
            </w:tcBorders>
            <w:tcMar>
              <w:top w:w="0" w:type="dxa"/>
              <w:left w:w="62" w:type="dxa"/>
              <w:bottom w:w="0" w:type="dxa"/>
              <w:right w:w="62" w:type="dxa"/>
            </w:tcMar>
          </w:tcPr>
          <w:p w:rsidR="00000000" w:rsidP="00DE07B8">
            <w:pPr>
              <w:pStyle w:val="BodyText"/>
              <w:rPr>
                <w:lang w:val="en-NZ"/>
              </w:rPr>
            </w:pPr>
            <w:r w:rsidRPr="00DE07B8">
              <w:t>Identify types of construction and their permeability to water and moisture, including concrete, masonry and framing.</w:t>
            </w:r>
          </w:p>
        </w:tc>
      </w:tr>
      <w:tr w:rsidTr="00DE07B8">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DE07B8">
            <w:pPr>
              <w:pStyle w:val="BodyText"/>
              <w:rPr>
                <w:lang w:val="en-NZ"/>
              </w:rPr>
            </w:pPr>
            <w:r w:rsidRPr="00DE07B8">
              <w:t>1.3</w:t>
            </w:r>
          </w:p>
        </w:tc>
        <w:tc>
          <w:tcPr>
            <w:tcW w:w="5659" w:type="dxa"/>
            <w:tcBorders>
              <w:top w:val="nil"/>
              <w:left w:val="nil"/>
              <w:bottom w:val="nil"/>
              <w:right w:val="nil"/>
            </w:tcBorders>
            <w:tcMar>
              <w:top w:w="0" w:type="dxa"/>
              <w:left w:w="62" w:type="dxa"/>
              <w:bottom w:w="0" w:type="dxa"/>
              <w:right w:w="62" w:type="dxa"/>
            </w:tcMar>
          </w:tcPr>
          <w:p w:rsidR="00000000" w:rsidP="00DE07B8">
            <w:pPr>
              <w:pStyle w:val="BodyText"/>
              <w:rPr>
                <w:lang w:val="en-NZ"/>
              </w:rPr>
            </w:pPr>
            <w:r w:rsidRPr="00DE07B8">
              <w:t>Determine the use of the wet area to be waterproofed and categorise as low, medium or high usage, including finishes in accordance with client’s needs and use of wet area.</w:t>
            </w:r>
          </w:p>
        </w:tc>
      </w:tr>
      <w:tr w:rsidTr="00DE07B8">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DE07B8">
            <w:pPr>
              <w:pStyle w:val="BodyText"/>
              <w:rPr>
                <w:lang w:val="en-NZ"/>
              </w:rPr>
            </w:pPr>
            <w:r w:rsidRPr="00DE07B8">
              <w:t>1.4</w:t>
            </w:r>
          </w:p>
        </w:tc>
        <w:tc>
          <w:tcPr>
            <w:tcW w:w="5659" w:type="dxa"/>
            <w:tcBorders>
              <w:top w:val="nil"/>
              <w:left w:val="nil"/>
              <w:bottom w:val="nil"/>
              <w:right w:val="nil"/>
            </w:tcBorders>
            <w:tcMar>
              <w:top w:w="0" w:type="dxa"/>
              <w:left w:w="62" w:type="dxa"/>
              <w:bottom w:w="0" w:type="dxa"/>
              <w:right w:w="62" w:type="dxa"/>
            </w:tcMar>
          </w:tcPr>
          <w:p w:rsidR="00000000" w:rsidP="00DE07B8">
            <w:pPr>
              <w:pStyle w:val="BodyText"/>
              <w:rPr>
                <w:lang w:val="en-NZ"/>
              </w:rPr>
            </w:pPr>
            <w:r w:rsidRPr="00DE07B8">
              <w:t>Identify shower type to inform the design.</w:t>
            </w:r>
          </w:p>
        </w:tc>
      </w:tr>
      <w:tr w:rsidTr="00DE07B8">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DE07B8">
            <w:pPr>
              <w:pStyle w:val="BodyText"/>
              <w:rPr>
                <w:lang w:val="en-NZ"/>
              </w:rPr>
            </w:pPr>
            <w:r w:rsidRPr="00DE07B8">
              <w:t>1.5</w:t>
            </w:r>
          </w:p>
        </w:tc>
        <w:tc>
          <w:tcPr>
            <w:tcW w:w="5659" w:type="dxa"/>
            <w:tcBorders>
              <w:top w:val="nil"/>
              <w:left w:val="nil"/>
              <w:bottom w:val="nil"/>
              <w:right w:val="nil"/>
            </w:tcBorders>
            <w:tcMar>
              <w:top w:w="0" w:type="dxa"/>
              <w:left w:w="62" w:type="dxa"/>
              <w:bottom w:w="0" w:type="dxa"/>
              <w:right w:w="62" w:type="dxa"/>
            </w:tcMar>
          </w:tcPr>
          <w:p w:rsidR="00000000" w:rsidP="00DE07B8">
            <w:pPr>
              <w:pStyle w:val="BodyText"/>
              <w:rPr>
                <w:lang w:val="en-NZ"/>
              </w:rPr>
            </w:pPr>
            <w:r w:rsidRPr="00DE07B8">
              <w:t>Identify extent of membrane application to inform the design.</w:t>
            </w:r>
          </w:p>
        </w:tc>
      </w:tr>
      <w:tr w:rsidTr="00DE07B8">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DE07B8">
            <w:pPr>
              <w:pStyle w:val="BodyText"/>
              <w:rPr>
                <w:lang w:val="en-NZ"/>
              </w:rPr>
            </w:pPr>
            <w:r w:rsidRPr="00DE07B8">
              <w:t>1.6</w:t>
            </w:r>
          </w:p>
        </w:tc>
        <w:tc>
          <w:tcPr>
            <w:tcW w:w="5659" w:type="dxa"/>
            <w:tcBorders>
              <w:top w:val="nil"/>
              <w:left w:val="nil"/>
              <w:bottom w:val="nil"/>
              <w:right w:val="nil"/>
            </w:tcBorders>
            <w:tcMar>
              <w:top w:w="0" w:type="dxa"/>
              <w:left w:w="62" w:type="dxa"/>
              <w:bottom w:w="0" w:type="dxa"/>
              <w:right w:w="62" w:type="dxa"/>
            </w:tcMar>
          </w:tcPr>
          <w:p w:rsidR="00000000" w:rsidP="00DE07B8">
            <w:pPr>
              <w:pStyle w:val="BodyText"/>
              <w:rPr>
                <w:lang w:val="en-NZ"/>
              </w:rPr>
            </w:pPr>
            <w:r w:rsidRPr="00DE07B8">
              <w:t xml:space="preserve">Identify egress points to inform the design. </w:t>
            </w:r>
          </w:p>
        </w:tc>
      </w:tr>
      <w:tr w:rsidTr="00DE07B8">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DE07B8">
            <w:pPr>
              <w:pStyle w:val="BodyText"/>
              <w:rPr>
                <w:lang w:val="en-NZ"/>
              </w:rPr>
            </w:pPr>
            <w:r w:rsidRPr="00DE07B8">
              <w:t>1.7</w:t>
            </w:r>
          </w:p>
        </w:tc>
        <w:tc>
          <w:tcPr>
            <w:tcW w:w="5659" w:type="dxa"/>
            <w:tcBorders>
              <w:top w:val="nil"/>
              <w:left w:val="nil"/>
              <w:bottom w:val="nil"/>
              <w:right w:val="nil"/>
            </w:tcBorders>
            <w:tcMar>
              <w:top w:w="0" w:type="dxa"/>
              <w:left w:w="62" w:type="dxa"/>
              <w:bottom w:w="0" w:type="dxa"/>
              <w:right w:w="62" w:type="dxa"/>
            </w:tcMar>
          </w:tcPr>
          <w:p w:rsidR="00000000" w:rsidP="00DE07B8">
            <w:pPr>
              <w:pStyle w:val="BodyText"/>
              <w:rPr>
                <w:lang w:val="en-NZ"/>
              </w:rPr>
            </w:pPr>
            <w:r w:rsidRPr="00DE07B8">
              <w:t>Identify potential water ingress points for the construction.</w:t>
            </w:r>
          </w:p>
        </w:tc>
      </w:tr>
      <w:tr w:rsidTr="00DE07B8">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DE07B8">
            <w:pPr>
              <w:pStyle w:val="BodyText"/>
              <w:rPr>
                <w:lang w:val="en-NZ"/>
              </w:rPr>
            </w:pPr>
            <w:r w:rsidRPr="00DE07B8">
              <w:t>1.8</w:t>
            </w:r>
          </w:p>
        </w:tc>
        <w:tc>
          <w:tcPr>
            <w:tcW w:w="5659" w:type="dxa"/>
            <w:tcBorders>
              <w:top w:val="nil"/>
              <w:left w:val="nil"/>
              <w:bottom w:val="nil"/>
              <w:right w:val="nil"/>
            </w:tcBorders>
            <w:tcMar>
              <w:top w:w="0" w:type="dxa"/>
              <w:left w:w="62" w:type="dxa"/>
              <w:bottom w:w="0" w:type="dxa"/>
              <w:right w:w="62" w:type="dxa"/>
            </w:tcMar>
          </w:tcPr>
          <w:p w:rsidR="00000000" w:rsidP="00DE07B8">
            <w:pPr>
              <w:pStyle w:val="BodyText"/>
              <w:rPr>
                <w:lang w:val="en-NZ"/>
              </w:rPr>
            </w:pPr>
            <w:r w:rsidRPr="00DE07B8">
              <w:t>Determine the scope of project, conditions to be managed and wate</w:t>
            </w:r>
            <w:r w:rsidRPr="00DE07B8">
              <w:t>rproofing requirements to be achieved.</w:t>
            </w:r>
          </w:p>
        </w:tc>
      </w:tr>
      <w:tr w:rsidTr="00DE07B8">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DE07B8">
            <w:pPr>
              <w:pStyle w:val="BodyText"/>
              <w:rPr>
                <w:lang w:val="en-NZ"/>
              </w:rPr>
            </w:pPr>
            <w:r w:rsidRPr="00DE07B8">
              <w:t>1.9</w:t>
            </w:r>
          </w:p>
        </w:tc>
        <w:tc>
          <w:tcPr>
            <w:tcW w:w="5659" w:type="dxa"/>
            <w:tcBorders>
              <w:top w:val="nil"/>
              <w:left w:val="nil"/>
              <w:bottom w:val="nil"/>
              <w:right w:val="nil"/>
            </w:tcBorders>
            <w:tcMar>
              <w:top w:w="0" w:type="dxa"/>
              <w:left w:w="62" w:type="dxa"/>
              <w:bottom w:w="0" w:type="dxa"/>
              <w:right w:w="62" w:type="dxa"/>
            </w:tcMar>
          </w:tcPr>
          <w:p w:rsidR="00000000" w:rsidP="00DE07B8">
            <w:pPr>
              <w:pStyle w:val="BodyText"/>
              <w:rPr>
                <w:lang w:val="en-NZ"/>
              </w:rPr>
            </w:pPr>
            <w:r w:rsidRPr="00DE07B8">
              <w:t xml:space="preserve">Determine outfalls to suit water inlet and use of area. </w:t>
            </w:r>
          </w:p>
        </w:tc>
      </w:tr>
      <w:tr w:rsidTr="00DE07B8">
        <w:tblPrEx>
          <w:tblW w:w="0" w:type="auto"/>
          <w:tblLayout w:type="fixed"/>
          <w:tblCellMar>
            <w:left w:w="62" w:type="dxa"/>
            <w:right w:w="62" w:type="dxa"/>
          </w:tblCellMar>
          <w:tblLook w:val="0000"/>
        </w:tblPrEx>
        <w:tc>
          <w:tcPr>
            <w:tcW w:w="9133" w:type="dxa"/>
            <w:gridSpan w:val="4"/>
            <w:tcBorders>
              <w:top w:val="nil"/>
              <w:left w:val="nil"/>
              <w:bottom w:val="nil"/>
              <w:right w:val="nil"/>
            </w:tcBorders>
            <w:tcMar>
              <w:top w:w="0" w:type="dxa"/>
              <w:left w:w="62" w:type="dxa"/>
              <w:bottom w:w="0" w:type="dxa"/>
              <w:right w:w="62" w:type="dxa"/>
            </w:tcMar>
          </w:tcPr>
          <w:p w:rsidR="00000000" w:rsidP="00DE07B8">
            <w:pPr>
              <w:pStyle w:val="BodyText"/>
              <w:rPr>
                <w:lang w:val="en-NZ"/>
              </w:rPr>
            </w:pPr>
          </w:p>
        </w:tc>
      </w:tr>
      <w:tr w:rsidTr="00DE07B8">
        <w:tblPrEx>
          <w:tblW w:w="0" w:type="auto"/>
          <w:tblLayout w:type="fixed"/>
          <w:tblCellMar>
            <w:left w:w="62" w:type="dxa"/>
            <w:right w:w="62" w:type="dxa"/>
          </w:tblCellMar>
          <w:tblLook w:val="0000"/>
        </w:tblPrEx>
        <w:tc>
          <w:tcPr>
            <w:tcW w:w="313" w:type="dxa"/>
            <w:vMerge w:val="restart"/>
            <w:tcBorders>
              <w:top w:val="nil"/>
              <w:left w:val="nil"/>
              <w:bottom w:val="nil"/>
              <w:right w:val="nil"/>
            </w:tcBorders>
            <w:tcMar>
              <w:top w:w="0" w:type="dxa"/>
              <w:left w:w="62" w:type="dxa"/>
              <w:bottom w:w="0" w:type="dxa"/>
              <w:right w:w="62" w:type="dxa"/>
            </w:tcMar>
          </w:tcPr>
          <w:p w:rsidR="00000000" w:rsidP="00DE07B8">
            <w:pPr>
              <w:pStyle w:val="BodyText"/>
              <w:rPr>
                <w:lang w:val="en-NZ"/>
              </w:rPr>
            </w:pPr>
            <w:r w:rsidRPr="00DE07B8">
              <w:t>2.</w:t>
            </w:r>
          </w:p>
        </w:tc>
        <w:tc>
          <w:tcPr>
            <w:tcW w:w="2357" w:type="dxa"/>
            <w:vMerge w:val="restart"/>
            <w:tcBorders>
              <w:top w:val="nil"/>
              <w:left w:val="nil"/>
              <w:bottom w:val="nil"/>
              <w:right w:val="nil"/>
            </w:tcBorders>
            <w:tcMar>
              <w:top w:w="0" w:type="dxa"/>
              <w:left w:w="62" w:type="dxa"/>
              <w:bottom w:w="0" w:type="dxa"/>
              <w:right w:w="62" w:type="dxa"/>
            </w:tcMar>
          </w:tcPr>
          <w:p w:rsidR="00000000" w:rsidP="00DE07B8">
            <w:pPr>
              <w:pStyle w:val="BodyText"/>
              <w:rPr>
                <w:lang w:val="en-NZ"/>
              </w:rPr>
            </w:pPr>
            <w:r w:rsidRPr="00DE07B8">
              <w:t>Carry out risk analysis.</w:t>
            </w:r>
          </w:p>
        </w:tc>
        <w:tc>
          <w:tcPr>
            <w:tcW w:w="804" w:type="dxa"/>
            <w:tcBorders>
              <w:top w:val="nil"/>
              <w:left w:val="nil"/>
              <w:bottom w:val="nil"/>
              <w:right w:val="nil"/>
            </w:tcBorders>
            <w:tcMar>
              <w:top w:w="0" w:type="dxa"/>
              <w:left w:w="62" w:type="dxa"/>
              <w:bottom w:w="0" w:type="dxa"/>
              <w:right w:w="62" w:type="dxa"/>
            </w:tcMar>
          </w:tcPr>
          <w:p w:rsidR="00000000" w:rsidP="00DE07B8">
            <w:pPr>
              <w:pStyle w:val="BodyText"/>
              <w:rPr>
                <w:lang w:val="en-NZ"/>
              </w:rPr>
            </w:pPr>
            <w:r w:rsidRPr="00DE07B8">
              <w:t>2.1</w:t>
            </w:r>
          </w:p>
        </w:tc>
        <w:tc>
          <w:tcPr>
            <w:tcW w:w="5659" w:type="dxa"/>
            <w:tcBorders>
              <w:top w:val="nil"/>
              <w:left w:val="nil"/>
              <w:bottom w:val="nil"/>
              <w:right w:val="nil"/>
            </w:tcBorders>
            <w:tcMar>
              <w:top w:w="0" w:type="dxa"/>
              <w:left w:w="62" w:type="dxa"/>
              <w:bottom w:w="0" w:type="dxa"/>
              <w:right w:w="62" w:type="dxa"/>
            </w:tcMar>
          </w:tcPr>
          <w:p w:rsidR="00000000" w:rsidP="00DE07B8">
            <w:pPr>
              <w:pStyle w:val="BodyText"/>
              <w:rPr>
                <w:lang w:val="en-NZ"/>
              </w:rPr>
            </w:pPr>
            <w:r w:rsidRPr="00DE07B8">
              <w:t>Assess risk of water bearing to full extent of application and the effects of charge</w:t>
            </w:r>
            <w:r w:rsidRPr="00DE07B8">
              <w:t xml:space="preserve">d dynamic water movement in high usage conditions. </w:t>
            </w:r>
          </w:p>
        </w:tc>
      </w:tr>
      <w:tr w:rsidTr="00DE07B8">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DE07B8">
            <w:pPr>
              <w:pStyle w:val="BodyText"/>
              <w:rPr>
                <w:lang w:val="en-NZ"/>
              </w:rPr>
            </w:pPr>
            <w:r w:rsidRPr="00DE07B8">
              <w:t>2.2</w:t>
            </w:r>
          </w:p>
        </w:tc>
        <w:tc>
          <w:tcPr>
            <w:tcW w:w="5659" w:type="dxa"/>
            <w:tcBorders>
              <w:top w:val="nil"/>
              <w:left w:val="nil"/>
              <w:bottom w:val="nil"/>
              <w:right w:val="nil"/>
            </w:tcBorders>
            <w:tcMar>
              <w:top w:w="0" w:type="dxa"/>
              <w:left w:w="62" w:type="dxa"/>
              <w:bottom w:w="0" w:type="dxa"/>
              <w:right w:w="62" w:type="dxa"/>
            </w:tcMar>
          </w:tcPr>
          <w:p w:rsidR="00000000" w:rsidP="00DE07B8">
            <w:pPr>
              <w:pStyle w:val="BodyText"/>
              <w:rPr>
                <w:lang w:val="en-NZ"/>
              </w:rPr>
            </w:pPr>
            <w:r w:rsidRPr="00DE07B8">
              <w:t>Assess risks of defects in the waterproofing systems.</w:t>
            </w:r>
          </w:p>
        </w:tc>
      </w:tr>
      <w:tr w:rsidTr="00DE07B8">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DE07B8">
            <w:pPr>
              <w:pStyle w:val="BodyText"/>
              <w:rPr>
                <w:lang w:val="en-NZ"/>
              </w:rPr>
            </w:pPr>
            <w:r w:rsidRPr="00DE07B8">
              <w:t>2.3</w:t>
            </w:r>
          </w:p>
        </w:tc>
        <w:tc>
          <w:tcPr>
            <w:tcW w:w="5659" w:type="dxa"/>
            <w:tcBorders>
              <w:top w:val="nil"/>
              <w:left w:val="nil"/>
              <w:bottom w:val="nil"/>
              <w:right w:val="nil"/>
            </w:tcBorders>
            <w:tcMar>
              <w:top w:w="0" w:type="dxa"/>
              <w:left w:w="62" w:type="dxa"/>
              <w:bottom w:w="0" w:type="dxa"/>
              <w:right w:w="62" w:type="dxa"/>
            </w:tcMar>
          </w:tcPr>
          <w:p w:rsidR="00000000" w:rsidP="00DE07B8">
            <w:pPr>
              <w:pStyle w:val="BodyText"/>
              <w:rPr>
                <w:lang w:val="en-NZ"/>
              </w:rPr>
            </w:pPr>
            <w:r w:rsidRPr="00DE07B8">
              <w:t xml:space="preserve">Assess consequence of water and moisture ingress into space outside of the wet area. </w:t>
            </w:r>
          </w:p>
        </w:tc>
      </w:tr>
      <w:tr w:rsidTr="00DE07B8">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DE07B8">
            <w:pPr>
              <w:pStyle w:val="BodyText"/>
              <w:rPr>
                <w:lang w:val="en-NZ"/>
              </w:rPr>
            </w:pPr>
            <w:r w:rsidRPr="00DE07B8">
              <w:t>2.4</w:t>
            </w:r>
          </w:p>
        </w:tc>
        <w:tc>
          <w:tcPr>
            <w:tcW w:w="5659" w:type="dxa"/>
            <w:tcBorders>
              <w:top w:val="nil"/>
              <w:left w:val="nil"/>
              <w:bottom w:val="nil"/>
              <w:right w:val="nil"/>
            </w:tcBorders>
            <w:tcMar>
              <w:top w:w="0" w:type="dxa"/>
              <w:left w:w="62" w:type="dxa"/>
              <w:bottom w:w="0" w:type="dxa"/>
              <w:right w:w="62" w:type="dxa"/>
            </w:tcMar>
          </w:tcPr>
          <w:p w:rsidR="00000000" w:rsidP="00DE07B8">
            <w:pPr>
              <w:pStyle w:val="BodyText"/>
              <w:rPr>
                <w:lang w:val="en-NZ"/>
              </w:rPr>
            </w:pPr>
            <w:r w:rsidRPr="00DE07B8">
              <w:t>Assess and manage interstitial condensation within building elements as part of design.</w:t>
            </w:r>
          </w:p>
        </w:tc>
      </w:tr>
      <w:tr w:rsidTr="00DE07B8">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DE07B8">
            <w:pPr>
              <w:pStyle w:val="BodyText"/>
              <w:rPr>
                <w:lang w:val="en-NZ"/>
              </w:rPr>
            </w:pPr>
            <w:r w:rsidRPr="00DE07B8">
              <w:t>2.5</w:t>
            </w:r>
          </w:p>
        </w:tc>
        <w:tc>
          <w:tcPr>
            <w:tcW w:w="5659" w:type="dxa"/>
            <w:tcBorders>
              <w:top w:val="nil"/>
              <w:left w:val="nil"/>
              <w:bottom w:val="nil"/>
              <w:right w:val="nil"/>
            </w:tcBorders>
            <w:tcMar>
              <w:top w:w="0" w:type="dxa"/>
              <w:left w:w="62" w:type="dxa"/>
              <w:bottom w:w="0" w:type="dxa"/>
              <w:right w:w="62" w:type="dxa"/>
            </w:tcMar>
          </w:tcPr>
          <w:p w:rsidR="00000000" w:rsidP="00DE07B8">
            <w:pPr>
              <w:pStyle w:val="BodyText"/>
              <w:rPr>
                <w:lang w:val="en-NZ"/>
              </w:rPr>
            </w:pPr>
            <w:r w:rsidRPr="00DE07B8">
              <w:t>Determine effects of water and moisture on building elements.</w:t>
            </w:r>
          </w:p>
        </w:tc>
      </w:tr>
      <w:tr w:rsidTr="00DE07B8">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DE07B8">
            <w:pPr>
              <w:pStyle w:val="BodyText"/>
              <w:rPr>
                <w:lang w:val="en-NZ"/>
              </w:rPr>
            </w:pPr>
            <w:r w:rsidRPr="00DE07B8">
              <w:t>2.6</w:t>
            </w:r>
          </w:p>
        </w:tc>
        <w:tc>
          <w:tcPr>
            <w:tcW w:w="5659" w:type="dxa"/>
            <w:tcBorders>
              <w:top w:val="nil"/>
              <w:left w:val="nil"/>
              <w:bottom w:val="nil"/>
              <w:right w:val="nil"/>
            </w:tcBorders>
            <w:tcMar>
              <w:top w:w="0" w:type="dxa"/>
              <w:left w:w="62" w:type="dxa"/>
              <w:bottom w:w="0" w:type="dxa"/>
              <w:right w:w="62" w:type="dxa"/>
            </w:tcMar>
          </w:tcPr>
          <w:p w:rsidR="00000000" w:rsidP="00DE07B8">
            <w:pPr>
              <w:pStyle w:val="BodyText"/>
              <w:rPr>
                <w:lang w:val="en-NZ"/>
              </w:rPr>
            </w:pPr>
            <w:r w:rsidRPr="00DE07B8">
              <w:t>Determine feasibility of repair and maintenance of the waterproofing system.</w:t>
            </w:r>
          </w:p>
        </w:tc>
      </w:tr>
      <w:tr w:rsidTr="00DE07B8">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DE07B8">
            <w:pPr>
              <w:pStyle w:val="BodyText"/>
              <w:rPr>
                <w:lang w:val="en-NZ"/>
              </w:rPr>
            </w:pPr>
            <w:r w:rsidRPr="00DE07B8">
              <w:t>2.7</w:t>
            </w:r>
          </w:p>
        </w:tc>
        <w:tc>
          <w:tcPr>
            <w:tcW w:w="5659" w:type="dxa"/>
            <w:tcBorders>
              <w:top w:val="nil"/>
              <w:left w:val="nil"/>
              <w:bottom w:val="nil"/>
              <w:right w:val="nil"/>
            </w:tcBorders>
            <w:tcMar>
              <w:top w:w="0" w:type="dxa"/>
              <w:left w:w="62" w:type="dxa"/>
              <w:bottom w:w="0" w:type="dxa"/>
              <w:right w:w="62" w:type="dxa"/>
            </w:tcMar>
          </w:tcPr>
          <w:p w:rsidR="00000000" w:rsidP="00DE07B8">
            <w:pPr>
              <w:pStyle w:val="BodyText"/>
              <w:rPr>
                <w:lang w:val="en-NZ"/>
              </w:rPr>
            </w:pPr>
            <w:r w:rsidRPr="00DE07B8">
              <w:t>Identify site environmental conditions according to approved plans, including surface and sub-surface drainage.</w:t>
            </w:r>
          </w:p>
        </w:tc>
      </w:tr>
      <w:tr w:rsidTr="00DE07B8">
        <w:tblPrEx>
          <w:tblW w:w="0" w:type="auto"/>
          <w:tblLayout w:type="fixed"/>
          <w:tblCellMar>
            <w:left w:w="62" w:type="dxa"/>
            <w:right w:w="62" w:type="dxa"/>
          </w:tblCellMar>
          <w:tblLook w:val="0000"/>
        </w:tblPrEx>
        <w:tc>
          <w:tcPr>
            <w:tcW w:w="9133" w:type="dxa"/>
            <w:gridSpan w:val="4"/>
            <w:tcBorders>
              <w:top w:val="nil"/>
              <w:left w:val="nil"/>
              <w:bottom w:val="nil"/>
              <w:right w:val="nil"/>
            </w:tcBorders>
            <w:tcMar>
              <w:top w:w="0" w:type="dxa"/>
              <w:left w:w="62" w:type="dxa"/>
              <w:bottom w:w="0" w:type="dxa"/>
              <w:right w:w="62" w:type="dxa"/>
            </w:tcMar>
          </w:tcPr>
          <w:p w:rsidR="00000000" w:rsidP="00DE07B8">
            <w:pPr>
              <w:pStyle w:val="BodyText"/>
              <w:rPr>
                <w:lang w:val="en-NZ"/>
              </w:rPr>
            </w:pPr>
          </w:p>
        </w:tc>
      </w:tr>
      <w:tr w:rsidTr="00DE07B8">
        <w:tblPrEx>
          <w:tblW w:w="0" w:type="auto"/>
          <w:tblLayout w:type="fixed"/>
          <w:tblCellMar>
            <w:left w:w="62" w:type="dxa"/>
            <w:right w:w="62" w:type="dxa"/>
          </w:tblCellMar>
          <w:tblLook w:val="0000"/>
        </w:tblPrEx>
        <w:tc>
          <w:tcPr>
            <w:tcW w:w="313" w:type="dxa"/>
            <w:vMerge w:val="restart"/>
            <w:tcBorders>
              <w:top w:val="nil"/>
              <w:left w:val="nil"/>
              <w:bottom w:val="nil"/>
              <w:right w:val="nil"/>
            </w:tcBorders>
            <w:tcMar>
              <w:top w:w="0" w:type="dxa"/>
              <w:left w:w="62" w:type="dxa"/>
              <w:bottom w:w="0" w:type="dxa"/>
              <w:right w:w="62" w:type="dxa"/>
            </w:tcMar>
          </w:tcPr>
          <w:p w:rsidR="00000000" w:rsidP="00DE07B8">
            <w:pPr>
              <w:pStyle w:val="BodyText"/>
              <w:rPr>
                <w:lang w:val="en-NZ"/>
              </w:rPr>
            </w:pPr>
            <w:r w:rsidRPr="00DE07B8">
              <w:t>3.</w:t>
            </w:r>
          </w:p>
        </w:tc>
        <w:tc>
          <w:tcPr>
            <w:tcW w:w="2357" w:type="dxa"/>
            <w:vMerge w:val="restart"/>
            <w:tcBorders>
              <w:top w:val="nil"/>
              <w:left w:val="nil"/>
              <w:bottom w:val="nil"/>
              <w:right w:val="nil"/>
            </w:tcBorders>
            <w:tcMar>
              <w:top w:w="0" w:type="dxa"/>
              <w:left w:w="62" w:type="dxa"/>
              <w:bottom w:w="0" w:type="dxa"/>
              <w:right w:w="62" w:type="dxa"/>
            </w:tcMar>
          </w:tcPr>
          <w:p w:rsidR="00000000" w:rsidP="00DE07B8">
            <w:pPr>
              <w:pStyle w:val="BodyText"/>
              <w:rPr>
                <w:lang w:val="en-NZ"/>
              </w:rPr>
            </w:pPr>
            <w:r w:rsidRPr="00DE07B8">
              <w:t>Carry out waterproofing design.</w:t>
            </w:r>
          </w:p>
        </w:tc>
        <w:tc>
          <w:tcPr>
            <w:tcW w:w="804" w:type="dxa"/>
            <w:tcBorders>
              <w:top w:val="nil"/>
              <w:left w:val="nil"/>
              <w:bottom w:val="nil"/>
              <w:right w:val="nil"/>
            </w:tcBorders>
            <w:tcMar>
              <w:top w:w="0" w:type="dxa"/>
              <w:left w:w="62" w:type="dxa"/>
              <w:bottom w:w="0" w:type="dxa"/>
              <w:right w:w="62" w:type="dxa"/>
            </w:tcMar>
          </w:tcPr>
          <w:p w:rsidR="00000000" w:rsidP="00DE07B8">
            <w:pPr>
              <w:pStyle w:val="BodyText"/>
              <w:rPr>
                <w:lang w:val="en-NZ"/>
              </w:rPr>
            </w:pPr>
            <w:r w:rsidRPr="00DE07B8">
              <w:t>3.1</w:t>
            </w:r>
          </w:p>
        </w:tc>
        <w:tc>
          <w:tcPr>
            <w:tcW w:w="5659" w:type="dxa"/>
            <w:tcBorders>
              <w:top w:val="nil"/>
              <w:left w:val="nil"/>
              <w:bottom w:val="nil"/>
              <w:right w:val="nil"/>
            </w:tcBorders>
            <w:tcMar>
              <w:top w:w="0" w:type="dxa"/>
              <w:left w:w="62" w:type="dxa"/>
              <w:bottom w:w="0" w:type="dxa"/>
              <w:right w:w="62" w:type="dxa"/>
            </w:tcMar>
          </w:tcPr>
          <w:p w:rsidR="00000000" w:rsidP="00DE07B8">
            <w:pPr>
              <w:pStyle w:val="BodyText"/>
              <w:rPr>
                <w:lang w:val="en-NZ"/>
              </w:rPr>
            </w:pPr>
            <w:r w:rsidRPr="00DE07B8">
              <w:t xml:space="preserve">Confirm type of wet area for use and confirm shower type and components. </w:t>
            </w:r>
          </w:p>
        </w:tc>
      </w:tr>
      <w:tr w:rsidTr="00DE07B8">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DE07B8">
            <w:pPr>
              <w:pStyle w:val="BodyText"/>
              <w:rPr>
                <w:lang w:val="en-NZ"/>
              </w:rPr>
            </w:pPr>
            <w:r w:rsidRPr="00DE07B8">
              <w:t>3.2</w:t>
            </w:r>
          </w:p>
        </w:tc>
        <w:tc>
          <w:tcPr>
            <w:tcW w:w="5659" w:type="dxa"/>
            <w:tcBorders>
              <w:top w:val="nil"/>
              <w:left w:val="nil"/>
              <w:bottom w:val="nil"/>
              <w:right w:val="nil"/>
            </w:tcBorders>
            <w:tcMar>
              <w:top w:w="0" w:type="dxa"/>
              <w:left w:w="62" w:type="dxa"/>
              <w:bottom w:w="0" w:type="dxa"/>
              <w:right w:w="62" w:type="dxa"/>
            </w:tcMar>
          </w:tcPr>
          <w:p w:rsidR="00000000" w:rsidP="00DE07B8">
            <w:pPr>
              <w:pStyle w:val="BodyText"/>
              <w:rPr>
                <w:lang w:val="en-NZ"/>
              </w:rPr>
            </w:pPr>
            <w:r w:rsidRPr="00DE07B8">
              <w:t>Confirm other fittings and fixtures in internal wet area, including bath type and position, vanity type and position, toilet/bidet type and position.</w:t>
            </w:r>
          </w:p>
        </w:tc>
      </w:tr>
      <w:tr w:rsidTr="00DE07B8">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DE07B8">
            <w:pPr>
              <w:pStyle w:val="BodyText"/>
              <w:rPr>
                <w:lang w:val="en-NZ"/>
              </w:rPr>
            </w:pPr>
            <w:r w:rsidRPr="00DE07B8">
              <w:t>3.3</w:t>
            </w:r>
          </w:p>
        </w:tc>
        <w:tc>
          <w:tcPr>
            <w:tcW w:w="5659" w:type="dxa"/>
            <w:tcBorders>
              <w:top w:val="nil"/>
              <w:left w:val="nil"/>
              <w:bottom w:val="nil"/>
              <w:right w:val="nil"/>
            </w:tcBorders>
            <w:tcMar>
              <w:top w:w="0" w:type="dxa"/>
              <w:left w:w="62" w:type="dxa"/>
              <w:bottom w:w="0" w:type="dxa"/>
              <w:right w:w="62" w:type="dxa"/>
            </w:tcMar>
          </w:tcPr>
          <w:p w:rsidR="00000000" w:rsidP="00DE07B8">
            <w:pPr>
              <w:pStyle w:val="BodyText"/>
              <w:rPr>
                <w:lang w:val="en-NZ"/>
              </w:rPr>
            </w:pPr>
            <w:r w:rsidRPr="00DE07B8">
              <w:t>Identify internal wet area waterproofing systems available to suit the design that are appropriate for the conditions.</w:t>
            </w:r>
          </w:p>
        </w:tc>
      </w:tr>
      <w:tr w:rsidTr="00DE07B8">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DE07B8">
            <w:pPr>
              <w:pStyle w:val="BodyText"/>
              <w:rPr>
                <w:lang w:val="en-NZ"/>
              </w:rPr>
            </w:pPr>
            <w:r w:rsidRPr="00DE07B8">
              <w:t>3.4</w:t>
            </w:r>
          </w:p>
        </w:tc>
        <w:tc>
          <w:tcPr>
            <w:tcW w:w="5659" w:type="dxa"/>
            <w:tcBorders>
              <w:top w:val="nil"/>
              <w:left w:val="nil"/>
              <w:bottom w:val="nil"/>
              <w:right w:val="nil"/>
            </w:tcBorders>
            <w:tcMar>
              <w:top w:w="0" w:type="dxa"/>
              <w:left w:w="62" w:type="dxa"/>
              <w:bottom w:w="0" w:type="dxa"/>
              <w:right w:w="62" w:type="dxa"/>
            </w:tcMar>
          </w:tcPr>
          <w:p w:rsidR="00000000" w:rsidP="00DE07B8">
            <w:pPr>
              <w:pStyle w:val="BodyText"/>
              <w:rPr>
                <w:lang w:val="en-NZ"/>
              </w:rPr>
            </w:pPr>
            <w:r w:rsidRPr="00DE07B8">
              <w:t>Develop design requirements for level of risk to moisture and water exposure in consultation with stakeholders.</w:t>
            </w:r>
          </w:p>
        </w:tc>
      </w:tr>
      <w:tr w:rsidTr="00DE07B8">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DE07B8">
            <w:pPr>
              <w:pStyle w:val="BodyText"/>
              <w:rPr>
                <w:lang w:val="en-NZ"/>
              </w:rPr>
            </w:pPr>
            <w:r w:rsidRPr="00DE07B8">
              <w:t>3.5</w:t>
            </w:r>
          </w:p>
        </w:tc>
        <w:tc>
          <w:tcPr>
            <w:tcW w:w="5659" w:type="dxa"/>
            <w:tcBorders>
              <w:top w:val="nil"/>
              <w:left w:val="nil"/>
              <w:bottom w:val="nil"/>
              <w:right w:val="nil"/>
            </w:tcBorders>
            <w:tcMar>
              <w:top w:w="0" w:type="dxa"/>
              <w:left w:w="62" w:type="dxa"/>
              <w:bottom w:w="0" w:type="dxa"/>
              <w:right w:w="62" w:type="dxa"/>
            </w:tcMar>
          </w:tcPr>
          <w:p w:rsidR="00000000" w:rsidP="00DE07B8">
            <w:pPr>
              <w:pStyle w:val="BodyText"/>
              <w:rPr>
                <w:lang w:val="en-NZ"/>
              </w:rPr>
            </w:pPr>
            <w:r w:rsidRPr="00DE07B8">
              <w:t>Provide a s</w:t>
            </w:r>
            <w:r w:rsidRPr="00DE07B8">
              <w:t xml:space="preserve">cope for the installation of the internal wet area waterproofing system, including substrate considerations and compatibility with finishes, in accordance with specifications. </w:t>
            </w:r>
          </w:p>
        </w:tc>
      </w:tr>
      <w:tr w:rsidTr="00DE07B8">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DE07B8">
            <w:pPr>
              <w:pStyle w:val="BodyText"/>
              <w:rPr>
                <w:lang w:val="en-NZ"/>
              </w:rPr>
            </w:pPr>
            <w:r w:rsidRPr="00DE07B8">
              <w:t>3.6</w:t>
            </w:r>
          </w:p>
        </w:tc>
        <w:tc>
          <w:tcPr>
            <w:tcW w:w="5659" w:type="dxa"/>
            <w:tcBorders>
              <w:top w:val="nil"/>
              <w:left w:val="nil"/>
              <w:bottom w:val="nil"/>
              <w:right w:val="nil"/>
            </w:tcBorders>
            <w:tcMar>
              <w:top w:w="0" w:type="dxa"/>
              <w:left w:w="62" w:type="dxa"/>
              <w:bottom w:w="0" w:type="dxa"/>
              <w:right w:w="62" w:type="dxa"/>
            </w:tcMar>
          </w:tcPr>
          <w:p w:rsidR="00000000" w:rsidP="00DE07B8">
            <w:pPr>
              <w:pStyle w:val="BodyText"/>
              <w:rPr>
                <w:lang w:val="en-NZ"/>
              </w:rPr>
            </w:pPr>
            <w:r w:rsidRPr="00DE07B8">
              <w:t>Provide quality assurance inspection protocols for internal wet area wat</w:t>
            </w:r>
            <w:r w:rsidRPr="00DE07B8">
              <w:t>erproofing system installation, including substrate assessment for suitability, compliance of membrane installation with manufacturers’ specifications, completion inspection processes, and repair and maintenance plan.</w:t>
            </w:r>
          </w:p>
        </w:tc>
      </w:tr>
      <w:tr w:rsidTr="00DE07B8">
        <w:tblPrEx>
          <w:tblW w:w="0" w:type="auto"/>
          <w:tblLayout w:type="fixed"/>
          <w:tblCellMar>
            <w:left w:w="62" w:type="dxa"/>
            <w:right w:w="62" w:type="dxa"/>
          </w:tblCellMar>
          <w:tblLook w:val="0000"/>
        </w:tblPrEx>
        <w:tc>
          <w:tcPr>
            <w:tcW w:w="9133" w:type="dxa"/>
            <w:gridSpan w:val="4"/>
            <w:tcBorders>
              <w:top w:val="nil"/>
              <w:left w:val="nil"/>
              <w:bottom w:val="nil"/>
              <w:right w:val="nil"/>
            </w:tcBorders>
            <w:tcMar>
              <w:top w:w="0" w:type="dxa"/>
              <w:left w:w="62" w:type="dxa"/>
              <w:bottom w:w="0" w:type="dxa"/>
              <w:right w:w="62" w:type="dxa"/>
            </w:tcMar>
          </w:tcPr>
          <w:p w:rsidR="00000000" w:rsidP="00DE07B8">
            <w:pPr>
              <w:pStyle w:val="BodyText"/>
              <w:rPr>
                <w:lang w:val="en-NZ"/>
              </w:rPr>
            </w:pPr>
          </w:p>
        </w:tc>
      </w:tr>
      <w:tr w:rsidTr="00DE07B8">
        <w:tblPrEx>
          <w:tblW w:w="0" w:type="auto"/>
          <w:tblLayout w:type="fixed"/>
          <w:tblCellMar>
            <w:left w:w="62" w:type="dxa"/>
            <w:right w:w="62" w:type="dxa"/>
          </w:tblCellMar>
          <w:tblLook w:val="0000"/>
        </w:tblPrEx>
        <w:tc>
          <w:tcPr>
            <w:tcW w:w="313" w:type="dxa"/>
            <w:vMerge w:val="restart"/>
            <w:tcBorders>
              <w:top w:val="nil"/>
              <w:left w:val="nil"/>
              <w:bottom w:val="nil"/>
              <w:right w:val="nil"/>
            </w:tcBorders>
            <w:tcMar>
              <w:top w:w="0" w:type="dxa"/>
              <w:left w:w="62" w:type="dxa"/>
              <w:bottom w:w="0" w:type="dxa"/>
              <w:right w:w="62" w:type="dxa"/>
            </w:tcMar>
          </w:tcPr>
          <w:p w:rsidR="00000000" w:rsidP="00DE07B8">
            <w:pPr>
              <w:pStyle w:val="BodyText"/>
              <w:rPr>
                <w:lang w:val="en-NZ"/>
              </w:rPr>
            </w:pPr>
            <w:r w:rsidRPr="00DE07B8">
              <w:t>4.</w:t>
            </w:r>
          </w:p>
        </w:tc>
        <w:tc>
          <w:tcPr>
            <w:tcW w:w="2357" w:type="dxa"/>
            <w:vMerge w:val="restart"/>
            <w:tcBorders>
              <w:top w:val="nil"/>
              <w:left w:val="nil"/>
              <w:bottom w:val="nil"/>
              <w:right w:val="nil"/>
            </w:tcBorders>
            <w:tcMar>
              <w:top w:w="0" w:type="dxa"/>
              <w:left w:w="62" w:type="dxa"/>
              <w:bottom w:w="0" w:type="dxa"/>
              <w:right w:w="62" w:type="dxa"/>
            </w:tcMar>
          </w:tcPr>
          <w:p w:rsidR="00000000" w:rsidP="00DE07B8">
            <w:pPr>
              <w:pStyle w:val="BodyText"/>
              <w:rPr>
                <w:lang w:val="en-NZ"/>
              </w:rPr>
            </w:pPr>
            <w:r w:rsidRPr="00DE07B8">
              <w:t>Evaluate waterproofing design.</w:t>
            </w:r>
          </w:p>
        </w:tc>
        <w:tc>
          <w:tcPr>
            <w:tcW w:w="804" w:type="dxa"/>
            <w:tcBorders>
              <w:top w:val="nil"/>
              <w:left w:val="nil"/>
              <w:bottom w:val="nil"/>
              <w:right w:val="nil"/>
            </w:tcBorders>
            <w:tcMar>
              <w:top w:w="0" w:type="dxa"/>
              <w:left w:w="62" w:type="dxa"/>
              <w:bottom w:w="0" w:type="dxa"/>
              <w:right w:w="62" w:type="dxa"/>
            </w:tcMar>
          </w:tcPr>
          <w:p w:rsidR="00000000" w:rsidP="00DE07B8">
            <w:pPr>
              <w:pStyle w:val="BodyText"/>
              <w:rPr>
                <w:lang w:val="en-NZ"/>
              </w:rPr>
            </w:pPr>
            <w:r w:rsidRPr="00DE07B8">
              <w:t>4.1</w:t>
            </w:r>
          </w:p>
        </w:tc>
        <w:tc>
          <w:tcPr>
            <w:tcW w:w="5659" w:type="dxa"/>
            <w:tcBorders>
              <w:top w:val="nil"/>
              <w:left w:val="nil"/>
              <w:bottom w:val="nil"/>
              <w:right w:val="nil"/>
            </w:tcBorders>
            <w:tcMar>
              <w:top w:w="0" w:type="dxa"/>
              <w:left w:w="62" w:type="dxa"/>
              <w:bottom w:w="0" w:type="dxa"/>
              <w:right w:w="62" w:type="dxa"/>
            </w:tcMar>
          </w:tcPr>
          <w:p w:rsidR="00000000" w:rsidP="00DE07B8">
            <w:pPr>
              <w:pStyle w:val="BodyText"/>
              <w:rPr>
                <w:lang w:val="en-NZ"/>
              </w:rPr>
            </w:pPr>
            <w:r w:rsidRPr="00DE07B8">
              <w:t>Assess effectiveness of internal wet area waterproofing systems design for suitability with site conditions and consequential effect where water bears at the maximum designed level, defects are present in the waterproofin</w:t>
            </w:r>
            <w:r w:rsidRPr="00DE07B8">
              <w:t>g system and defects impact the usage of adjoining areas.</w:t>
            </w:r>
          </w:p>
        </w:tc>
      </w:tr>
      <w:tr w:rsidTr="00DE07B8">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DE07B8">
            <w:pPr>
              <w:pStyle w:val="BodyText"/>
              <w:rPr>
                <w:lang w:val="en-NZ"/>
              </w:rPr>
            </w:pPr>
            <w:r w:rsidRPr="00DE07B8">
              <w:t>4.2</w:t>
            </w:r>
          </w:p>
        </w:tc>
        <w:tc>
          <w:tcPr>
            <w:tcW w:w="5659" w:type="dxa"/>
            <w:tcBorders>
              <w:top w:val="nil"/>
              <w:left w:val="nil"/>
              <w:bottom w:val="nil"/>
              <w:right w:val="nil"/>
            </w:tcBorders>
            <w:tcMar>
              <w:top w:w="0" w:type="dxa"/>
              <w:left w:w="62" w:type="dxa"/>
              <w:bottom w:w="0" w:type="dxa"/>
              <w:right w:w="62" w:type="dxa"/>
            </w:tcMar>
          </w:tcPr>
          <w:p w:rsidR="00000000" w:rsidP="00DE07B8">
            <w:pPr>
              <w:pStyle w:val="BodyText"/>
              <w:rPr>
                <w:lang w:val="en-NZ"/>
              </w:rPr>
            </w:pPr>
            <w:r w:rsidRPr="00DE07B8">
              <w:t xml:space="preserve">Review repair and maintenance plan of internal wet area waterproofing system. </w:t>
            </w:r>
          </w:p>
        </w:tc>
      </w:tr>
      <w:tr w:rsidTr="00DE07B8">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DE07B8">
            <w:pPr>
              <w:pStyle w:val="BodyText"/>
              <w:rPr>
                <w:lang w:val="en-NZ"/>
              </w:rPr>
            </w:pPr>
            <w:r w:rsidRPr="00DE07B8">
              <w:t>4.3</w:t>
            </w:r>
          </w:p>
        </w:tc>
        <w:tc>
          <w:tcPr>
            <w:tcW w:w="5659" w:type="dxa"/>
            <w:tcBorders>
              <w:top w:val="nil"/>
              <w:left w:val="nil"/>
              <w:bottom w:val="nil"/>
              <w:right w:val="nil"/>
            </w:tcBorders>
            <w:tcMar>
              <w:top w:w="0" w:type="dxa"/>
              <w:left w:w="62" w:type="dxa"/>
              <w:bottom w:w="0" w:type="dxa"/>
              <w:right w:w="62" w:type="dxa"/>
            </w:tcMar>
          </w:tcPr>
          <w:p w:rsidR="00000000" w:rsidRPr="00DE07B8" w:rsidP="00DE07B8">
            <w:pPr>
              <w:pStyle w:val="BodyText"/>
            </w:pPr>
            <w:r w:rsidRPr="00DE07B8">
              <w:t xml:space="preserve">Record and report on compliant internal wet area waterproofing design solutions to stakeholders in accordance with service conditions and manufacturers’ specifications, Australian Standards, and NCC performance requirements. </w:t>
            </w:r>
          </w:p>
        </w:tc>
      </w:tr>
    </w:tbl>
    <w:p w:rsidR="00000000" w:rsidRPr="00DE07B8" w:rsidP="00DE07B8">
      <w:pPr>
        <w:pStyle w:val="BodyText"/>
      </w:pPr>
    </w:p>
    <w:p w:rsidR="00000000" w:rsidRPr="00DE07B8" w:rsidP="00DE07B8">
      <w:pPr>
        <w:pStyle w:val="AllowPageBreak"/>
      </w:pPr>
    </w:p>
    <w:p w:rsidR="00000000" w:rsidRPr="00DE07B8" w:rsidP="00DE07B8">
      <w:pPr>
        <w:pStyle w:val="Heading1"/>
      </w:pPr>
      <w:bookmarkStart w:id="6" w:name="O_1260371"/>
      <w:bookmarkEnd w:id="6"/>
      <w:r w:rsidRPr="00DE07B8">
        <w:t>Foundatio</w:t>
      </w:r>
      <w:r w:rsidRPr="00DE07B8">
        <w:t>n Skills</w:t>
      </w:r>
    </w:p>
    <w:p w:rsidR="00000000" w:rsidRPr="00DE07B8" w:rsidP="0029644F">
      <w:pPr>
        <w:pStyle w:val="BodyText"/>
      </w:pPr>
      <w:r w:rsidRPr="00DE07B8">
        <w:t xml:space="preserve">Foundation skills essential to performance are explicit in the performance criteria of this unit of competency. </w:t>
      </w:r>
    </w:p>
    <w:p w:rsidR="00000000" w:rsidRPr="00DE07B8" w:rsidP="00DE07B8">
      <w:pPr>
        <w:pStyle w:val="Heading1"/>
      </w:pPr>
      <w:bookmarkStart w:id="7" w:name="O_1260370"/>
      <w:bookmarkEnd w:id="7"/>
      <w:r w:rsidRPr="00DE07B8">
        <w:t>Unit Mapping Information</w:t>
      </w:r>
    </w:p>
    <w:p w:rsidR="00000000" w:rsidRPr="00DE07B8" w:rsidP="0029644F">
      <w:pPr>
        <w:pStyle w:val="BodyText"/>
      </w:pPr>
      <w:r w:rsidRPr="00DE07B8">
        <w:t>No equivalent unit.</w:t>
      </w:r>
    </w:p>
    <w:p w:rsidR="00000000" w:rsidRPr="00DE07B8" w:rsidP="00DE07B8">
      <w:pPr>
        <w:pStyle w:val="Heading1"/>
      </w:pPr>
      <w:bookmarkStart w:id="8" w:name="O_1260363"/>
      <w:bookmarkEnd w:id="8"/>
      <w:r w:rsidRPr="00DE07B8">
        <w:t>Links</w:t>
      </w:r>
    </w:p>
    <w:p w:rsidR="00000000" w:rsidRPr="00DE07B8" w:rsidP="0029644F">
      <w:pPr>
        <w:pStyle w:val="BodyText"/>
      </w:pPr>
      <w:r w:rsidRPr="00DE07B8">
        <w:t>Companion volumes to this training package ar</w:t>
      </w:r>
      <w:r w:rsidRPr="00DE07B8">
        <w:t xml:space="preserve">e available at the VETNet website - </w:t>
      </w:r>
      <w:r>
        <w:fldChar w:fldCharType="begin"/>
      </w:r>
      <w:r>
        <w:instrText xml:space="preserve"> HYPERLINK "https://vetnet.gov.au/Pages/TrainingDocs.aspx?q=7e15fa6a-68b8-4097-b099-030a5569b1ad" </w:instrText>
      </w:r>
      <w:r>
        <w:fldChar w:fldCharType="separate"/>
      </w:r>
      <w:r w:rsidRPr="00E03E15">
        <w:rPr>
          <w:rStyle w:val="Hyperlink"/>
        </w:rPr>
        <w:t>https://vetnet.gov.au/Pages/TrainingDocs.aspx?q=7e15fa6a-68b8-4097-b099-030a5569b1ad</w:t>
      </w:r>
      <w:r>
        <w:fldChar w:fldCharType="end"/>
      </w:r>
    </w:p>
    <w:p w:rsidR="00000000" w:rsidRPr="00DE07B8" w:rsidP="00DE07B8"/>
    <w:sectPr w:rsidSect="00DE07B8">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E07B8">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E07B8" w:rsidRPr="0029644F" w:rsidP="0029644F">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E07B8">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9644F" w:rsidP="00DE07B8">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29644F" w:rsidP="00DE07B8">
    <w:pPr>
      <w:pStyle w:val="Footer"/>
      <w:framePr w:wrap="around"/>
    </w:pPr>
    <w:r>
      <w:t xml:space="preserve">© Commonwealth of Australia, </w:t>
    </w:r>
    <w:r>
      <w:fldChar w:fldCharType="begin"/>
    </w:r>
    <w:r>
      <w:instrText xml:space="preserve"> DATE  \@ "yyyy"  \* MERGEFORMAT </w:instrText>
    </w:r>
    <w:r>
      <w:fldChar w:fldCharType="separate"/>
    </w:r>
    <w:r>
      <w:rPr>
        <w:noProof/>
      </w:rPr>
      <w:t>2024</w:t>
    </w:r>
    <w:r>
      <w:fldChar w:fldCharType="end"/>
    </w:r>
    <w:r>
      <w:tab/>
    </w:r>
    <w:r>
      <w:fldChar w:fldCharType="begin"/>
    </w:r>
    <w:r>
      <w:instrText xml:space="preserve"> DOCPROPERTY  Author  \* MERGEFORMAT </w:instrText>
    </w:r>
    <w:r>
      <w:fldChar w:fldCharType="separate"/>
    </w:r>
    <w:r>
      <w:t>BuildSkills Australia</w:t>
    </w:r>
    <w:r>
      <w:fldChar w:fldCharType="end"/>
    </w:r>
  </w:p>
  <w:p w:rsidR="0029644F" w:rsidP="00DE07B8">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E07B8">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9644F"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DE07B8" w:rsidRPr="0029644F" w:rsidP="0029644F">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E07B8">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9644F" w:rsidRPr="002D2AF8" w:rsidP="00DE07B8">
    <w:pPr>
      <w:pStyle w:val="Header"/>
      <w:framePr w:wrap="around"/>
    </w:pPr>
    <w:r>
      <w:fldChar w:fldCharType="begin"/>
    </w:r>
    <w:r>
      <w:instrText xml:space="preserve"> TITLE   \* MERGEFORMAT </w:instrText>
    </w:r>
    <w:r>
      <w:fldChar w:fldCharType="separate"/>
    </w:r>
    <w:r>
      <w:t>CPCCWP5003 Design waterproofing to internal wet area</w:t>
    </w:r>
    <w:r>
      <w:fldChar w:fldCharType="end"/>
    </w:r>
    <w:r>
      <w:tab/>
      <w:t xml:space="preserve">Date this document was generated: </w:t>
    </w:r>
    <w:r>
      <w:fldChar w:fldCharType="begin"/>
    </w:r>
    <w:r>
      <w:instrText xml:space="preserve"> CREATEDATE  \@ "d MMMM yyyy"  \* MERGEFORMAT </w:instrText>
    </w:r>
    <w:r>
      <w:fldChar w:fldCharType="separate"/>
    </w:r>
    <w:r>
      <w:rPr>
        <w:noProof/>
      </w:rPr>
      <w:t>24 December 2024</w:t>
    </w:r>
    <w:r>
      <w:fldChar w:fldCharType="end"/>
    </w:r>
  </w:p>
  <w:p w:rsidR="0029644F" w:rsidP="00DE07B8">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7">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8">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9">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0">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1">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2">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4"/>
  </w:num>
  <w:num w:numId="2">
    <w:abstractNumId w:val="3"/>
  </w:num>
  <w:num w:numId="3">
    <w:abstractNumId w:val="2"/>
  </w:num>
  <w:num w:numId="4">
    <w:abstractNumId w:val="1"/>
  </w:num>
  <w:num w:numId="5">
    <w:abstractNumId w:val="0"/>
  </w:num>
  <w:num w:numId="6">
    <w:abstractNumId w:val="11"/>
  </w:num>
  <w:num w:numId="7">
    <w:abstractNumId w:val="8"/>
  </w:num>
  <w:num w:numId="8">
    <w:abstractNumId w:val="12"/>
  </w:num>
  <w:num w:numId="9">
    <w:abstractNumId w:val="6"/>
  </w:num>
  <w:num w:numId="10">
    <w:abstractNumId w:val="9"/>
  </w:num>
  <w:num w:numId="11">
    <w:abstractNumId w:val="7"/>
  </w:num>
  <w:num w:numId="12">
    <w:abstractNumId w:val="5"/>
  </w:num>
  <w:num w:numId="13">
    <w:abstractNumId w:val="1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E07B8"/>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DE07B8"/>
    <w:pPr>
      <w:spacing w:before="360" w:after="60"/>
      <w:outlineLvl w:val="0"/>
    </w:pPr>
    <w:rPr>
      <w:sz w:val="32"/>
    </w:rPr>
  </w:style>
  <w:style w:type="paragraph" w:styleId="Heading2">
    <w:name w:val="heading 2"/>
    <w:basedOn w:val="HeadingBase"/>
    <w:next w:val="BodyText"/>
    <w:link w:val="Heading2Char"/>
    <w:qFormat/>
    <w:rsid w:val="00DE07B8"/>
    <w:pPr>
      <w:keepLines/>
      <w:spacing w:before="240" w:after="120"/>
      <w:outlineLvl w:val="1"/>
    </w:pPr>
    <w:rPr>
      <w:sz w:val="28"/>
      <w:szCs w:val="40"/>
    </w:rPr>
  </w:style>
  <w:style w:type="paragraph" w:styleId="Heading3">
    <w:name w:val="heading 3"/>
    <w:basedOn w:val="HeadingBase"/>
    <w:next w:val="BodyText"/>
    <w:link w:val="Heading3Char"/>
    <w:qFormat/>
    <w:rsid w:val="00DE07B8"/>
    <w:pPr>
      <w:spacing w:before="180" w:after="120"/>
      <w:outlineLvl w:val="2"/>
    </w:pPr>
    <w:rPr>
      <w:spacing w:val="-10"/>
      <w:kern w:val="32"/>
    </w:rPr>
  </w:style>
  <w:style w:type="paragraph" w:styleId="Heading4">
    <w:name w:val="heading 4"/>
    <w:basedOn w:val="HeadingBase"/>
    <w:next w:val="BodyText"/>
    <w:link w:val="Heading4Char"/>
    <w:qFormat/>
    <w:rsid w:val="00DE07B8"/>
    <w:pPr>
      <w:spacing w:before="160" w:after="120"/>
      <w:outlineLvl w:val="3"/>
    </w:pPr>
    <w:rPr>
      <w:sz w:val="22"/>
    </w:rPr>
  </w:style>
  <w:style w:type="paragraph" w:styleId="Heading5">
    <w:name w:val="heading 5"/>
    <w:basedOn w:val="HeadingBase"/>
    <w:next w:val="Normal"/>
    <w:link w:val="Heading5Char"/>
    <w:qFormat/>
    <w:rsid w:val="00DE07B8"/>
    <w:pPr>
      <w:spacing w:before="80"/>
      <w:outlineLvl w:val="4"/>
    </w:pPr>
    <w:rPr>
      <w:color w:val="918585"/>
      <w:sz w:val="20"/>
    </w:rPr>
  </w:style>
  <w:style w:type="paragraph" w:styleId="Heading6">
    <w:name w:val="heading 6"/>
    <w:basedOn w:val="HeadingBase"/>
    <w:next w:val="Normal"/>
    <w:link w:val="Heading6Char"/>
    <w:qFormat/>
    <w:rsid w:val="00DE07B8"/>
    <w:pPr>
      <w:spacing w:before="60"/>
      <w:outlineLvl w:val="5"/>
    </w:pPr>
    <w:rPr>
      <w:color w:val="918585"/>
      <w:sz w:val="20"/>
    </w:rPr>
  </w:style>
  <w:style w:type="paragraph" w:styleId="Heading7">
    <w:name w:val="heading 7"/>
    <w:basedOn w:val="Normal"/>
    <w:next w:val="Normal"/>
    <w:link w:val="Heading7Char"/>
    <w:qFormat/>
    <w:rsid w:val="00DE07B8"/>
    <w:pPr>
      <w:ind w:left="720"/>
      <w:outlineLvl w:val="6"/>
    </w:pPr>
    <w:rPr>
      <w:i/>
    </w:rPr>
  </w:style>
  <w:style w:type="paragraph" w:styleId="Heading8">
    <w:name w:val="heading 8"/>
    <w:basedOn w:val="Normal"/>
    <w:next w:val="Normal"/>
    <w:link w:val="Heading8Char"/>
    <w:qFormat/>
    <w:rsid w:val="00DE07B8"/>
    <w:pPr>
      <w:ind w:left="720"/>
      <w:outlineLvl w:val="7"/>
    </w:pPr>
    <w:rPr>
      <w:i/>
    </w:rPr>
  </w:style>
  <w:style w:type="paragraph" w:styleId="Heading9">
    <w:name w:val="heading 9"/>
    <w:basedOn w:val="Normal"/>
    <w:next w:val="Normal"/>
    <w:link w:val="Heading9Char"/>
    <w:qFormat/>
    <w:rsid w:val="00DE07B8"/>
    <w:pPr>
      <w:ind w:left="720"/>
      <w:outlineLvl w:val="8"/>
    </w:pPr>
    <w:rPr>
      <w:i/>
    </w:rPr>
  </w:style>
  <w:style w:type="character" w:default="1" w:styleId="DefaultParagraphFont">
    <w:name w:val="Default Paragraph Font"/>
    <w:uiPriority w:val="1"/>
    <w:unhideWhenUsed/>
    <w:rsid w:val="00DE07B8"/>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DE07B8"/>
  </w:style>
  <w:style w:type="character" w:customStyle="1" w:styleId="Heading1Char">
    <w:name w:val="Heading 1 Char"/>
    <w:basedOn w:val="DefaultParagraphFont"/>
    <w:link w:val="Heading1"/>
    <w:rsid w:val="00DE07B8"/>
    <w:rPr>
      <w:rFonts w:ascii="Times New Roman" w:eastAsia="Times New Roman" w:hAnsi="Times New Roman" w:cs="Times New Roman"/>
      <w:b/>
      <w:sz w:val="32"/>
      <w:szCs w:val="20"/>
      <w:lang w:eastAsia="en-US"/>
    </w:rPr>
  </w:style>
  <w:style w:type="paragraph" w:styleId="BodyText">
    <w:name w:val="Body Text"/>
    <w:basedOn w:val="Normal"/>
    <w:link w:val="BodyTextChar"/>
    <w:rsid w:val="00DE07B8"/>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DE07B8"/>
    <w:rPr>
      <w:rFonts w:ascii="Times New Roman" w:eastAsia="Times New Roman" w:hAnsi="Times New Roman" w:cs="Times New Roman"/>
      <w:sz w:val="24"/>
      <w:lang w:eastAsia="en-US"/>
    </w:rPr>
  </w:style>
  <w:style w:type="paragraph" w:customStyle="1" w:styleId="SuperHeading">
    <w:name w:val="SuperHeading"/>
    <w:basedOn w:val="Normal"/>
    <w:rsid w:val="00DE07B8"/>
    <w:pPr>
      <w:spacing w:before="240" w:after="120"/>
      <w:outlineLvl w:val="0"/>
    </w:pPr>
    <w:rPr>
      <w:rFonts w:ascii="Times New Roman" w:hAnsi="Times New Roman"/>
      <w:b/>
      <w:sz w:val="32"/>
    </w:rPr>
  </w:style>
  <w:style w:type="paragraph" w:customStyle="1" w:styleId="AllowPageBreak">
    <w:name w:val="AllowPageBreak"/>
    <w:rsid w:val="00DE07B8"/>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DE07B8"/>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DE07B8"/>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DE07B8"/>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DE07B8"/>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DE07B8"/>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DE07B8"/>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DE07B8"/>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DE07B8"/>
    <w:rPr>
      <w:rFonts w:ascii="Courier New" w:eastAsia="Times New Roman" w:hAnsi="Courier New" w:cs="Times New Roman"/>
      <w:i/>
      <w:szCs w:val="20"/>
      <w:lang w:eastAsia="en-US"/>
    </w:rPr>
  </w:style>
  <w:style w:type="paragraph" w:customStyle="1" w:styleId="HeadingBase">
    <w:name w:val="Heading Base"/>
    <w:rsid w:val="00DE07B8"/>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DE07B8"/>
    <w:pPr>
      <w:tabs>
        <w:tab w:val="right" w:leader="dot" w:pos="9072"/>
      </w:tabs>
      <w:ind w:left="567"/>
    </w:pPr>
    <w:rPr>
      <w:szCs w:val="22"/>
    </w:rPr>
  </w:style>
  <w:style w:type="paragraph" w:customStyle="1" w:styleId="TOCBase">
    <w:name w:val="TOC Base"/>
    <w:rsid w:val="00DE07B8"/>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DE07B8"/>
    <w:pPr>
      <w:tabs>
        <w:tab w:val="right" w:leader="dot" w:pos="9072"/>
      </w:tabs>
      <w:spacing w:before="40" w:after="40"/>
      <w:ind w:left="284"/>
    </w:pPr>
    <w:rPr>
      <w:rFonts w:ascii="Times New Roman" w:hAnsi="Times New Roman"/>
    </w:rPr>
  </w:style>
  <w:style w:type="paragraph" w:styleId="TOC1">
    <w:name w:val="toc 1"/>
    <w:basedOn w:val="TOCBase"/>
    <w:next w:val="Normal"/>
    <w:rsid w:val="00DE07B8"/>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DE07B8"/>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DE07B8"/>
    <w:rPr>
      <w:rFonts w:ascii="Times New Roman" w:eastAsia="Times New Roman" w:hAnsi="Times New Roman" w:cs="Times New Roman"/>
      <w:sz w:val="16"/>
      <w:lang w:eastAsia="en-US"/>
    </w:rPr>
  </w:style>
  <w:style w:type="paragraph" w:styleId="Title">
    <w:name w:val="Title"/>
    <w:basedOn w:val="HeadingBase"/>
    <w:link w:val="TitleChar"/>
    <w:qFormat/>
    <w:rsid w:val="00DE07B8"/>
    <w:pPr>
      <w:spacing w:before="5040"/>
      <w:jc w:val="center"/>
    </w:pPr>
    <w:rPr>
      <w:sz w:val="48"/>
      <w:szCs w:val="72"/>
      <w:lang w:val="en-US"/>
    </w:rPr>
  </w:style>
  <w:style w:type="character" w:customStyle="1" w:styleId="TitleChar">
    <w:name w:val="Title Char"/>
    <w:basedOn w:val="DefaultParagraphFont"/>
    <w:link w:val="Title"/>
    <w:rsid w:val="00DE07B8"/>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DE07B8"/>
    <w:pPr>
      <w:tabs>
        <w:tab w:val="left" w:pos="3600"/>
        <w:tab w:val="left" w:pos="3958"/>
      </w:tabs>
    </w:pPr>
  </w:style>
  <w:style w:type="paragraph" w:styleId="List">
    <w:name w:val="List"/>
    <w:basedOn w:val="BodyText"/>
    <w:next w:val="BodyText"/>
    <w:rsid w:val="00DE07B8"/>
    <w:pPr>
      <w:tabs>
        <w:tab w:val="left" w:pos="340"/>
      </w:tabs>
      <w:spacing w:before="60" w:after="60"/>
      <w:ind w:left="340" w:hanging="340"/>
    </w:pPr>
  </w:style>
  <w:style w:type="paragraph" w:styleId="ListBullet">
    <w:name w:val="List Bullet"/>
    <w:basedOn w:val="List"/>
    <w:rsid w:val="00DE07B8"/>
    <w:pPr>
      <w:numPr>
        <w:numId w:val="10"/>
      </w:numPr>
      <w:tabs>
        <w:tab w:val="clear" w:pos="340"/>
      </w:tabs>
      <w:spacing w:before="40" w:after="40"/>
    </w:pPr>
  </w:style>
  <w:style w:type="paragraph" w:customStyle="1" w:styleId="Note">
    <w:name w:val="Note"/>
    <w:basedOn w:val="BodyText"/>
    <w:rsid w:val="00DE07B8"/>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DE07B8"/>
    <w:rPr>
      <w:b/>
      <w:spacing w:val="0"/>
    </w:rPr>
  </w:style>
  <w:style w:type="paragraph" w:customStyle="1" w:styleId="SuperTitle">
    <w:name w:val="SuperTitle"/>
    <w:basedOn w:val="Title"/>
    <w:rsid w:val="00DE07B8"/>
    <w:pPr>
      <w:framePr w:wrap="auto" w:hAnchor="text" w:y="6049"/>
    </w:pPr>
    <w:rPr>
      <w:color w:val="000000"/>
      <w:sz w:val="40"/>
    </w:rPr>
  </w:style>
  <w:style w:type="paragraph" w:customStyle="1" w:styleId="TOCTitle">
    <w:name w:val="TOCTitle"/>
    <w:basedOn w:val="Heading1"/>
    <w:rsid w:val="00DE07B8"/>
    <w:pPr>
      <w:spacing w:after="240"/>
      <w:jc w:val="center"/>
      <w:outlineLvl w:val="9"/>
    </w:pPr>
    <w:rPr>
      <w:caps/>
    </w:rPr>
  </w:style>
  <w:style w:type="paragraph" w:customStyle="1" w:styleId="Version">
    <w:name w:val="Version"/>
    <w:rsid w:val="00DE07B8"/>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DE07B8"/>
    <w:pPr>
      <w:numPr>
        <w:numId w:val="11"/>
      </w:numPr>
      <w:tabs>
        <w:tab w:val="clear" w:pos="680"/>
      </w:tabs>
    </w:pPr>
  </w:style>
  <w:style w:type="paragraph" w:styleId="Index1">
    <w:name w:val="index 1"/>
    <w:basedOn w:val="Normal"/>
    <w:next w:val="Normal"/>
    <w:semiHidden/>
    <w:rsid w:val="00DE07B8"/>
    <w:pPr>
      <w:keepNext w:val="0"/>
      <w:tabs>
        <w:tab w:val="right" w:pos="4176"/>
      </w:tabs>
      <w:ind w:left="198" w:hanging="198"/>
    </w:pPr>
    <w:rPr>
      <w:rFonts w:ascii="Garamond" w:hAnsi="Garamond"/>
    </w:rPr>
  </w:style>
  <w:style w:type="paragraph" w:styleId="IndexHeading">
    <w:name w:val="index heading"/>
    <w:basedOn w:val="Normal"/>
    <w:next w:val="Index1"/>
    <w:semiHidden/>
    <w:rsid w:val="00DE07B8"/>
    <w:pPr>
      <w:spacing w:before="120" w:after="120"/>
    </w:pPr>
    <w:rPr>
      <w:rFonts w:ascii="Arial" w:hAnsi="Arial"/>
      <w:b/>
      <w:color w:val="918585"/>
      <w:sz w:val="24"/>
    </w:rPr>
  </w:style>
  <w:style w:type="paragraph" w:styleId="Header">
    <w:name w:val="header"/>
    <w:basedOn w:val="Normal"/>
    <w:link w:val="HeaderChar"/>
    <w:rsid w:val="00DE07B8"/>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DE07B8"/>
    <w:rPr>
      <w:rFonts w:ascii="Times New Roman" w:eastAsia="Times New Roman" w:hAnsi="Times New Roman" w:cs="Times New Roman"/>
      <w:sz w:val="16"/>
      <w:szCs w:val="20"/>
      <w:lang w:val="en-GB" w:eastAsia="en-US"/>
    </w:rPr>
  </w:style>
  <w:style w:type="paragraph" w:customStyle="1" w:styleId="Chapter">
    <w:name w:val="Chapter"/>
    <w:basedOn w:val="Normal"/>
    <w:rsid w:val="00DE07B8"/>
    <w:pPr>
      <w:spacing w:before="240"/>
    </w:pPr>
    <w:rPr>
      <w:rFonts w:ascii="Times New Roman" w:hAnsi="Times New Roman"/>
      <w:smallCaps/>
      <w:spacing w:val="80"/>
      <w:sz w:val="28"/>
    </w:rPr>
  </w:style>
  <w:style w:type="paragraph" w:customStyle="1" w:styleId="InChapter">
    <w:name w:val="InChapter"/>
    <w:basedOn w:val="Heading3"/>
    <w:rsid w:val="00DE07B8"/>
    <w:pPr>
      <w:spacing w:after="240"/>
      <w:outlineLvl w:val="9"/>
    </w:pPr>
    <w:rPr>
      <w:noProof/>
    </w:rPr>
  </w:style>
  <w:style w:type="paragraph" w:styleId="Index2">
    <w:name w:val="index 2"/>
    <w:basedOn w:val="Normal"/>
    <w:next w:val="Normal"/>
    <w:semiHidden/>
    <w:rsid w:val="00DE07B8"/>
    <w:pPr>
      <w:tabs>
        <w:tab w:val="right" w:pos="4176"/>
      </w:tabs>
      <w:ind w:left="568" w:hanging="284"/>
    </w:pPr>
    <w:rPr>
      <w:rFonts w:ascii="Garamond" w:hAnsi="Garamond"/>
    </w:rPr>
  </w:style>
  <w:style w:type="paragraph" w:customStyle="1" w:styleId="Byline">
    <w:name w:val="Byline"/>
    <w:rsid w:val="00DE07B8"/>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DE07B8"/>
    <w:pPr>
      <w:tabs>
        <w:tab w:val="clear" w:pos="3600"/>
        <w:tab w:val="clear" w:pos="3958"/>
      </w:tabs>
      <w:jc w:val="right"/>
    </w:pPr>
  </w:style>
  <w:style w:type="character" w:styleId="Emphasis">
    <w:name w:val="Emphasis"/>
    <w:basedOn w:val="DefaultParagraphFont"/>
    <w:qFormat/>
    <w:rsid w:val="00DE07B8"/>
    <w:rPr>
      <w:i/>
    </w:rPr>
  </w:style>
  <w:style w:type="paragraph" w:styleId="Caption">
    <w:name w:val="caption"/>
    <w:basedOn w:val="BodyText"/>
    <w:next w:val="Normal"/>
    <w:qFormat/>
    <w:rsid w:val="00DE07B8"/>
    <w:pPr>
      <w:framePr w:w="2268" w:hSpace="181" w:vSpace="181" w:wrap="around" w:vAnchor="text" w:hAnchor="page" w:x="1135" w:y="285" w:anchorLock="1"/>
    </w:pPr>
    <w:rPr>
      <w:i/>
    </w:rPr>
  </w:style>
  <w:style w:type="paragraph" w:customStyle="1" w:styleId="MiniTOCTitle">
    <w:name w:val="MiniTOCTitle"/>
    <w:basedOn w:val="Heading4"/>
    <w:rsid w:val="00DE07B8"/>
    <w:pPr>
      <w:spacing w:before="240"/>
      <w:outlineLvl w:val="9"/>
    </w:pPr>
    <w:rPr>
      <w:noProof/>
      <w:sz w:val="24"/>
    </w:rPr>
  </w:style>
  <w:style w:type="paragraph" w:customStyle="1" w:styleId="MiniTOCItem">
    <w:name w:val="MiniTOCItem"/>
    <w:basedOn w:val="ListBullet"/>
    <w:rsid w:val="00DE07B8"/>
    <w:pPr>
      <w:numPr>
        <w:numId w:val="0"/>
      </w:numPr>
      <w:tabs>
        <w:tab w:val="right" w:leader="dot" w:pos="6521"/>
      </w:tabs>
      <w:spacing w:before="0" w:after="0"/>
    </w:pPr>
  </w:style>
  <w:style w:type="paragraph" w:customStyle="1" w:styleId="TOFTitle">
    <w:name w:val="TOFTitle"/>
    <w:basedOn w:val="TOCTitle"/>
    <w:rsid w:val="00DE07B8"/>
  </w:style>
  <w:style w:type="paragraph" w:styleId="TableofFigures">
    <w:name w:val="table of figures"/>
    <w:basedOn w:val="Normal"/>
    <w:next w:val="Normal"/>
    <w:semiHidden/>
    <w:rsid w:val="00DE07B8"/>
    <w:pPr>
      <w:tabs>
        <w:tab w:val="right" w:leader="dot" w:pos="9072"/>
      </w:tabs>
      <w:ind w:left="970" w:hanging="403"/>
    </w:pPr>
    <w:rPr>
      <w:rFonts w:ascii="Times New Roman" w:hAnsi="Times New Roman"/>
      <w:b/>
    </w:rPr>
  </w:style>
  <w:style w:type="paragraph" w:styleId="ListNumber">
    <w:name w:val="List Number"/>
    <w:basedOn w:val="List"/>
    <w:rsid w:val="00DE07B8"/>
    <w:pPr>
      <w:numPr>
        <w:numId w:val="13"/>
      </w:numPr>
      <w:tabs>
        <w:tab w:val="clear" w:pos="340"/>
      </w:tabs>
    </w:pPr>
  </w:style>
  <w:style w:type="character" w:customStyle="1" w:styleId="WingdingSymbols">
    <w:name w:val="Wingding Symbols"/>
    <w:rsid w:val="00DE07B8"/>
    <w:rPr>
      <w:rFonts w:ascii="Wingdings" w:hAnsi="Wingdings"/>
    </w:rPr>
  </w:style>
  <w:style w:type="paragraph" w:customStyle="1" w:styleId="TableHeading">
    <w:name w:val="Table Heading"/>
    <w:basedOn w:val="HeadingBase"/>
    <w:rsid w:val="00DE07B8"/>
    <w:pPr>
      <w:keepLines/>
      <w:pBdr>
        <w:bottom w:val="single" w:sz="6" w:space="1" w:color="918585"/>
      </w:pBdr>
      <w:spacing w:before="240"/>
    </w:pPr>
  </w:style>
  <w:style w:type="character" w:customStyle="1" w:styleId="HotSpot">
    <w:name w:val="HotSpot"/>
    <w:rsid w:val="00DE07B8"/>
    <w:rPr>
      <w:color w:val="0033CC"/>
      <w:u w:val="none"/>
    </w:rPr>
  </w:style>
  <w:style w:type="paragraph" w:customStyle="1" w:styleId="BodyTextRight">
    <w:name w:val="Body Text Right"/>
    <w:basedOn w:val="BodyText"/>
    <w:rsid w:val="00DE07B8"/>
    <w:pPr>
      <w:spacing w:before="0" w:after="0"/>
      <w:jc w:val="right"/>
    </w:pPr>
  </w:style>
  <w:style w:type="paragraph" w:styleId="Index3">
    <w:name w:val="index 3"/>
    <w:basedOn w:val="ListNumber2"/>
    <w:next w:val="Normal"/>
    <w:semiHidden/>
    <w:rsid w:val="00DE07B8"/>
    <w:pPr>
      <w:numPr>
        <w:numId w:val="0"/>
      </w:numPr>
      <w:tabs>
        <w:tab w:val="right" w:leader="dot" w:pos="4176"/>
      </w:tabs>
    </w:pPr>
  </w:style>
  <w:style w:type="paragraph" w:styleId="ListNumber2">
    <w:name w:val="List Number 2"/>
    <w:basedOn w:val="List2"/>
    <w:rsid w:val="00DE07B8"/>
    <w:pPr>
      <w:numPr>
        <w:numId w:val="8"/>
      </w:numPr>
      <w:tabs>
        <w:tab w:val="clear" w:pos="1060"/>
      </w:tabs>
    </w:pPr>
  </w:style>
  <w:style w:type="paragraph" w:customStyle="1" w:styleId="MarginNote">
    <w:name w:val="Margin Note"/>
    <w:basedOn w:val="BodyText"/>
    <w:rsid w:val="00DE07B8"/>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DE07B8"/>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DE07B8"/>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DE07B8"/>
    <w:rPr>
      <w:sz w:val="32"/>
    </w:rPr>
  </w:style>
  <w:style w:type="paragraph" w:customStyle="1" w:styleId="HeadingProcedure">
    <w:name w:val="Heading Procedure"/>
    <w:basedOn w:val="HeadingBase"/>
    <w:next w:val="Normal"/>
    <w:rsid w:val="00DE07B8"/>
    <w:pPr>
      <w:tabs>
        <w:tab w:val="left" w:pos="0"/>
      </w:tabs>
      <w:spacing w:before="120" w:after="60"/>
    </w:pPr>
    <w:rPr>
      <w:i/>
      <w:color w:val="918585"/>
      <w:sz w:val="22"/>
    </w:rPr>
  </w:style>
  <w:style w:type="paragraph" w:customStyle="1" w:styleId="TableBodyText">
    <w:name w:val="Table Body Text"/>
    <w:basedOn w:val="BodyText"/>
    <w:rsid w:val="00DE07B8"/>
    <w:pPr>
      <w:spacing w:before="60" w:after="60"/>
    </w:pPr>
  </w:style>
  <w:style w:type="paragraph" w:styleId="ListContinue">
    <w:name w:val="List Continue"/>
    <w:basedOn w:val="List"/>
    <w:rsid w:val="00DE07B8"/>
    <w:pPr>
      <w:ind w:firstLine="0"/>
    </w:pPr>
  </w:style>
  <w:style w:type="paragraph" w:customStyle="1" w:styleId="ListNote">
    <w:name w:val="List Note"/>
    <w:basedOn w:val="List"/>
    <w:rsid w:val="00DE07B8"/>
    <w:pPr>
      <w:pBdr>
        <w:top w:val="single" w:sz="6" w:space="2" w:color="918585"/>
        <w:bottom w:val="single" w:sz="6" w:space="2" w:color="918585"/>
      </w:pBdr>
      <w:tabs>
        <w:tab w:val="left" w:pos="1021"/>
      </w:tabs>
      <w:ind w:firstLine="0"/>
    </w:pPr>
  </w:style>
  <w:style w:type="paragraph" w:customStyle="1" w:styleId="Warning">
    <w:name w:val="Warning"/>
    <w:basedOn w:val="BodyText"/>
    <w:rsid w:val="00DE07B8"/>
    <w:pPr>
      <w:shd w:val="clear" w:color="auto" w:fill="D9D9D9"/>
      <w:tabs>
        <w:tab w:val="left" w:pos="992"/>
      </w:tabs>
      <w:ind w:left="119" w:right="119"/>
    </w:pPr>
    <w:rPr>
      <w:sz w:val="20"/>
    </w:rPr>
  </w:style>
  <w:style w:type="paragraph" w:customStyle="1" w:styleId="MarginIcons">
    <w:name w:val="Margin Icons"/>
    <w:basedOn w:val="BodyText"/>
    <w:rsid w:val="00DE07B8"/>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DE07B8"/>
    <w:rPr>
      <w:rFonts w:ascii="Courier New" w:hAnsi="Courier New"/>
    </w:rPr>
  </w:style>
  <w:style w:type="paragraph" w:customStyle="1" w:styleId="NoteBullet">
    <w:name w:val="Note Bullet"/>
    <w:basedOn w:val="Note"/>
    <w:rsid w:val="00DE07B8"/>
    <w:pPr>
      <w:tabs>
        <w:tab w:val="clear" w:pos="680"/>
      </w:tabs>
      <w:spacing w:before="60" w:after="60"/>
    </w:pPr>
  </w:style>
  <w:style w:type="paragraph" w:customStyle="1" w:styleId="SubHeading2">
    <w:name w:val="SubHeading2"/>
    <w:basedOn w:val="HeadingBase"/>
    <w:rsid w:val="00DE07B8"/>
    <w:pPr>
      <w:spacing w:before="240" w:after="60"/>
    </w:pPr>
    <w:rPr>
      <w:sz w:val="20"/>
    </w:rPr>
  </w:style>
  <w:style w:type="paragraph" w:customStyle="1" w:styleId="SubHeading1">
    <w:name w:val="SubHeading1"/>
    <w:basedOn w:val="HeadingBase"/>
    <w:rsid w:val="00DE07B8"/>
    <w:pPr>
      <w:spacing w:before="240" w:after="60"/>
    </w:pPr>
    <w:rPr>
      <w:color w:val="918585"/>
      <w:sz w:val="22"/>
    </w:rPr>
  </w:style>
  <w:style w:type="paragraph" w:customStyle="1" w:styleId="SideHeading">
    <w:name w:val="Side Heading"/>
    <w:basedOn w:val="HeadingBase"/>
    <w:rsid w:val="00DE07B8"/>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DE07B8"/>
    <w:pPr>
      <w:numPr>
        <w:numId w:val="9"/>
      </w:numPr>
    </w:pPr>
  </w:style>
  <w:style w:type="paragraph" w:styleId="PlainText">
    <w:name w:val="Plain Text"/>
    <w:basedOn w:val="Normal"/>
    <w:link w:val="PlainTextChar"/>
    <w:rsid w:val="00DE07B8"/>
    <w:rPr>
      <w:sz w:val="20"/>
    </w:rPr>
  </w:style>
  <w:style w:type="character" w:customStyle="1" w:styleId="PlainTextChar">
    <w:name w:val="Plain Text Char"/>
    <w:basedOn w:val="DefaultParagraphFont"/>
    <w:link w:val="PlainText"/>
    <w:rsid w:val="00DE07B8"/>
    <w:rPr>
      <w:rFonts w:ascii="Courier New" w:eastAsia="Times New Roman" w:hAnsi="Courier New" w:cs="Times New Roman"/>
      <w:sz w:val="20"/>
      <w:szCs w:val="20"/>
      <w:lang w:eastAsia="en-US"/>
    </w:rPr>
  </w:style>
  <w:style w:type="character" w:customStyle="1" w:styleId="MenuOption">
    <w:name w:val="Menu Option"/>
    <w:basedOn w:val="DefaultParagraphFont"/>
    <w:rsid w:val="00DE07B8"/>
    <w:rPr>
      <w:b/>
      <w:smallCaps/>
    </w:rPr>
  </w:style>
  <w:style w:type="paragraph" w:customStyle="1" w:styleId="TableListNumber">
    <w:name w:val="Table List Number"/>
    <w:basedOn w:val="ListNumber"/>
    <w:rsid w:val="00DE07B8"/>
    <w:pPr>
      <w:numPr>
        <w:numId w:val="0"/>
      </w:numPr>
    </w:pPr>
  </w:style>
  <w:style w:type="paragraph" w:styleId="TOC4">
    <w:name w:val="toc 4"/>
    <w:basedOn w:val="TOCBase"/>
    <w:next w:val="Normal"/>
    <w:semiHidden/>
    <w:rsid w:val="00DE07B8"/>
    <w:pPr>
      <w:tabs>
        <w:tab w:val="right" w:leader="dot" w:pos="9071"/>
      </w:tabs>
      <w:ind w:left="1701"/>
    </w:pPr>
  </w:style>
  <w:style w:type="paragraph" w:customStyle="1" w:styleId="ListAlpha">
    <w:name w:val="List Alpha"/>
    <w:basedOn w:val="List"/>
    <w:rsid w:val="00DE07B8"/>
    <w:pPr>
      <w:numPr>
        <w:numId w:val="7"/>
      </w:numPr>
    </w:pPr>
  </w:style>
  <w:style w:type="paragraph" w:customStyle="1" w:styleId="ListAlpha2">
    <w:name w:val="List Alpha 2"/>
    <w:basedOn w:val="List2"/>
    <w:rsid w:val="00DE07B8"/>
    <w:pPr>
      <w:numPr>
        <w:numId w:val="6"/>
      </w:numPr>
    </w:pPr>
  </w:style>
  <w:style w:type="paragraph" w:styleId="List2">
    <w:name w:val="List 2"/>
    <w:basedOn w:val="BodyText"/>
    <w:rsid w:val="00DE07B8"/>
    <w:pPr>
      <w:tabs>
        <w:tab w:val="left" w:pos="680"/>
      </w:tabs>
      <w:spacing w:before="60" w:after="60"/>
      <w:ind w:left="680" w:hanging="340"/>
    </w:pPr>
  </w:style>
  <w:style w:type="paragraph" w:styleId="List3">
    <w:name w:val="List 3"/>
    <w:basedOn w:val="BodyText"/>
    <w:rsid w:val="00DE07B8"/>
    <w:pPr>
      <w:tabs>
        <w:tab w:val="left" w:pos="1021"/>
      </w:tabs>
      <w:spacing w:before="60" w:after="60"/>
      <w:ind w:left="1020" w:hanging="340"/>
    </w:pPr>
  </w:style>
  <w:style w:type="paragraph" w:styleId="List4">
    <w:name w:val="List 4"/>
    <w:basedOn w:val="BodyText"/>
    <w:rsid w:val="00DE07B8"/>
    <w:pPr>
      <w:tabs>
        <w:tab w:val="left" w:pos="1361"/>
      </w:tabs>
      <w:spacing w:before="60" w:after="60"/>
      <w:ind w:left="1361" w:hanging="340"/>
    </w:pPr>
  </w:style>
  <w:style w:type="paragraph" w:styleId="List5">
    <w:name w:val="List 5"/>
    <w:basedOn w:val="BodyText"/>
    <w:rsid w:val="00DE07B8"/>
    <w:pPr>
      <w:tabs>
        <w:tab w:val="left" w:pos="1701"/>
      </w:tabs>
      <w:spacing w:before="60" w:after="60"/>
      <w:ind w:left="1701" w:hanging="340"/>
    </w:pPr>
  </w:style>
  <w:style w:type="paragraph" w:styleId="ListBullet3">
    <w:name w:val="List Bullet 3"/>
    <w:basedOn w:val="List3"/>
    <w:rsid w:val="00DE07B8"/>
    <w:pPr>
      <w:numPr>
        <w:numId w:val="12"/>
      </w:numPr>
      <w:tabs>
        <w:tab w:val="clear" w:pos="1021"/>
      </w:tabs>
      <w:ind w:left="1037" w:hanging="357"/>
    </w:pPr>
  </w:style>
  <w:style w:type="paragraph" w:styleId="ListBullet4">
    <w:name w:val="List Bullet 4"/>
    <w:basedOn w:val="List4"/>
    <w:rsid w:val="00DE07B8"/>
    <w:pPr>
      <w:numPr>
        <w:numId w:val="1"/>
      </w:numPr>
      <w:tabs>
        <w:tab w:val="clear" w:pos="1361"/>
      </w:tabs>
    </w:pPr>
  </w:style>
  <w:style w:type="paragraph" w:styleId="ListBullet5">
    <w:name w:val="List Bullet 5"/>
    <w:basedOn w:val="List5"/>
    <w:rsid w:val="00DE07B8"/>
    <w:pPr>
      <w:numPr>
        <w:numId w:val="2"/>
      </w:numPr>
    </w:pPr>
  </w:style>
  <w:style w:type="paragraph" w:styleId="ListContinue2">
    <w:name w:val="List Continue 2"/>
    <w:basedOn w:val="List2"/>
    <w:rsid w:val="00DE07B8"/>
    <w:pPr>
      <w:ind w:firstLine="0"/>
    </w:pPr>
  </w:style>
  <w:style w:type="paragraph" w:styleId="ListContinue3">
    <w:name w:val="List Continue 3"/>
    <w:basedOn w:val="List3"/>
    <w:rsid w:val="00DE07B8"/>
    <w:pPr>
      <w:ind w:left="1021" w:firstLine="0"/>
    </w:pPr>
  </w:style>
  <w:style w:type="paragraph" w:styleId="ListContinue4">
    <w:name w:val="List Continue 4"/>
    <w:basedOn w:val="List4"/>
    <w:rsid w:val="00DE07B8"/>
    <w:pPr>
      <w:ind w:firstLine="0"/>
    </w:pPr>
  </w:style>
  <w:style w:type="paragraph" w:styleId="ListContinue5">
    <w:name w:val="List Continue 5"/>
    <w:basedOn w:val="List5"/>
    <w:rsid w:val="00DE07B8"/>
    <w:pPr>
      <w:ind w:firstLine="0"/>
    </w:pPr>
  </w:style>
  <w:style w:type="paragraph" w:styleId="ListNumber3">
    <w:name w:val="List Number 3"/>
    <w:basedOn w:val="List3"/>
    <w:rsid w:val="00DE07B8"/>
    <w:pPr>
      <w:numPr>
        <w:numId w:val="3"/>
      </w:numPr>
    </w:pPr>
  </w:style>
  <w:style w:type="paragraph" w:styleId="ListNumber4">
    <w:name w:val="List Number 4"/>
    <w:basedOn w:val="List4"/>
    <w:rsid w:val="00DE07B8"/>
    <w:pPr>
      <w:numPr>
        <w:numId w:val="4"/>
      </w:numPr>
    </w:pPr>
  </w:style>
  <w:style w:type="paragraph" w:styleId="ListNumber5">
    <w:name w:val="List Number 5"/>
    <w:basedOn w:val="List5"/>
    <w:rsid w:val="00DE07B8"/>
    <w:pPr>
      <w:numPr>
        <w:numId w:val="5"/>
      </w:numPr>
    </w:pPr>
  </w:style>
  <w:style w:type="paragraph" w:styleId="BlockText">
    <w:name w:val="Block Text"/>
    <w:basedOn w:val="Normal"/>
    <w:rsid w:val="00DE07B8"/>
    <w:pPr>
      <w:spacing w:after="120"/>
      <w:ind w:left="1440" w:right="1440"/>
    </w:pPr>
  </w:style>
  <w:style w:type="character" w:customStyle="1" w:styleId="Subscript">
    <w:name w:val="Subscript"/>
    <w:basedOn w:val="DefaultParagraphFont"/>
    <w:rsid w:val="00DE07B8"/>
    <w:rPr>
      <w:sz w:val="16"/>
      <w:vertAlign w:val="subscript"/>
    </w:rPr>
  </w:style>
  <w:style w:type="character" w:customStyle="1" w:styleId="Superscript">
    <w:name w:val="Superscript"/>
    <w:basedOn w:val="DefaultParagraphFont"/>
    <w:rsid w:val="00DE07B8"/>
    <w:rPr>
      <w:sz w:val="16"/>
      <w:vertAlign w:val="superscript"/>
    </w:rPr>
  </w:style>
  <w:style w:type="character" w:customStyle="1" w:styleId="Symbols">
    <w:name w:val="Symbols"/>
    <w:basedOn w:val="DefaultParagraphFont"/>
    <w:rsid w:val="00DE07B8"/>
    <w:rPr>
      <w:rFonts w:ascii="Symbol" w:hAnsi="Symbol"/>
    </w:rPr>
  </w:style>
  <w:style w:type="character" w:customStyle="1" w:styleId="MenuOptions">
    <w:name w:val="Menu Options"/>
    <w:basedOn w:val="DefaultParagraphFont"/>
    <w:rsid w:val="00DE07B8"/>
    <w:rPr>
      <w:rFonts w:ascii="Arial Narrow" w:hAnsi="Arial Narrow"/>
      <w:smallCaps/>
    </w:rPr>
  </w:style>
  <w:style w:type="character" w:customStyle="1" w:styleId="Buttons">
    <w:name w:val="Buttons"/>
    <w:basedOn w:val="DefaultParagraphFont"/>
    <w:rsid w:val="00DE07B8"/>
    <w:rPr>
      <w:b/>
    </w:rPr>
  </w:style>
  <w:style w:type="character" w:customStyle="1" w:styleId="Underlined">
    <w:name w:val="Underlined"/>
    <w:basedOn w:val="DefaultParagraphFont"/>
    <w:rsid w:val="00DE07B8"/>
    <w:rPr>
      <w:u w:val="single"/>
    </w:rPr>
  </w:style>
  <w:style w:type="paragraph" w:customStyle="1" w:styleId="TableBodyTextRight">
    <w:name w:val="Table Body Text Right"/>
    <w:basedOn w:val="TableBodyText"/>
    <w:rsid w:val="00DE07B8"/>
    <w:pPr>
      <w:widowControl w:val="0"/>
      <w:autoSpaceDE w:val="0"/>
      <w:autoSpaceDN w:val="0"/>
      <w:adjustRightInd w:val="0"/>
      <w:jc w:val="right"/>
    </w:pPr>
    <w:rPr>
      <w:rFonts w:cs="Arial"/>
      <w:szCs w:val="18"/>
    </w:rPr>
  </w:style>
  <w:style w:type="paragraph" w:customStyle="1" w:styleId="CopyrightText">
    <w:name w:val="Copyright Text"/>
    <w:basedOn w:val="BodyText"/>
    <w:rsid w:val="00DE07B8"/>
    <w:rPr>
      <w:sz w:val="18"/>
    </w:rPr>
  </w:style>
  <w:style w:type="paragraph" w:customStyle="1" w:styleId="BodySmallRight">
    <w:name w:val="Body Small Right"/>
    <w:basedOn w:val="BodyTextRight"/>
    <w:rsid w:val="00DE07B8"/>
    <w:rPr>
      <w:sz w:val="18"/>
      <w:szCs w:val="18"/>
    </w:rPr>
  </w:style>
  <w:style w:type="paragraph" w:customStyle="1" w:styleId="MarginEdition">
    <w:name w:val="Margin Edition"/>
    <w:basedOn w:val="MarginNote"/>
    <w:rsid w:val="00DE07B8"/>
    <w:pPr>
      <w:spacing w:before="0" w:after="0"/>
    </w:pPr>
    <w:rPr>
      <w:rFonts w:ascii="Times New Roman" w:hAnsi="Times New Roman"/>
      <w:color w:val="999999"/>
    </w:rPr>
  </w:style>
  <w:style w:type="paragraph" w:customStyle="1" w:styleId="Spacer">
    <w:name w:val="Spacer"/>
    <w:basedOn w:val="Normal"/>
    <w:rsid w:val="00DE07B8"/>
    <w:rPr>
      <w:sz w:val="2"/>
      <w:szCs w:val="2"/>
    </w:rPr>
  </w:style>
  <w:style w:type="character" w:customStyle="1" w:styleId="Small">
    <w:name w:val="Small"/>
    <w:basedOn w:val="DefaultParagraphFont"/>
    <w:rsid w:val="00DE07B8"/>
    <w:rPr>
      <w:sz w:val="16"/>
    </w:rPr>
  </w:style>
  <w:style w:type="paragraph" w:customStyle="1" w:styleId="WideTable">
    <w:name w:val="Wide Table"/>
    <w:basedOn w:val="Normal"/>
    <w:rsid w:val="00DE07B8"/>
    <w:pPr>
      <w:ind w:left="-1418"/>
    </w:pPr>
    <w:rPr>
      <w:sz w:val="2"/>
      <w:szCs w:val="2"/>
    </w:rPr>
  </w:style>
  <w:style w:type="character" w:styleId="PageNumber">
    <w:name w:val="page number"/>
    <w:basedOn w:val="DefaultParagraphFont"/>
    <w:rsid w:val="00DE07B8"/>
  </w:style>
  <w:style w:type="paragraph" w:styleId="Quote">
    <w:name w:val="Quote"/>
    <w:basedOn w:val="Heading1"/>
    <w:link w:val="QuoteChar"/>
    <w:qFormat/>
    <w:rsid w:val="00DE07B8"/>
    <w:rPr>
      <w:b w:val="0"/>
      <w:sz w:val="72"/>
      <w:szCs w:val="72"/>
      <w:lang w:val="en-NZ"/>
    </w:rPr>
  </w:style>
  <w:style w:type="character" w:customStyle="1" w:styleId="QuoteChar">
    <w:name w:val="Quote Char"/>
    <w:basedOn w:val="DefaultParagraphFont"/>
    <w:link w:val="Quote"/>
    <w:rsid w:val="00DE07B8"/>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DE07B8"/>
    <w:pPr>
      <w:pageBreakBefore/>
    </w:pPr>
  </w:style>
  <w:style w:type="paragraph" w:customStyle="1" w:styleId="Border">
    <w:name w:val="Border"/>
    <w:basedOn w:val="Normal"/>
    <w:qFormat/>
    <w:rsid w:val="00DE07B8"/>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DE07B8"/>
    <w:rPr>
      <w:b/>
      <w:bCs/>
      <w:i/>
      <w:iCs/>
      <w:color w:val="auto"/>
    </w:rPr>
  </w:style>
  <w:style w:type="paragraph" w:styleId="IntenseQuote">
    <w:name w:val="Intense Quote"/>
    <w:basedOn w:val="Normal"/>
    <w:next w:val="Normal"/>
    <w:link w:val="IntenseQuoteChar"/>
    <w:uiPriority w:val="30"/>
    <w:qFormat/>
    <w:rsid w:val="00DE07B8"/>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DE07B8"/>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DE07B8"/>
    <w:rPr>
      <w:smallCaps/>
      <w:color w:val="auto"/>
      <w:u w:val="single"/>
    </w:rPr>
  </w:style>
  <w:style w:type="character" w:styleId="IntenseReference">
    <w:name w:val="Intense Reference"/>
    <w:basedOn w:val="DefaultParagraphFont"/>
    <w:uiPriority w:val="32"/>
    <w:qFormat/>
    <w:rsid w:val="00DE07B8"/>
    <w:rPr>
      <w:b/>
      <w:bCs/>
      <w:smallCaps/>
      <w:color w:val="auto"/>
      <w:spacing w:val="5"/>
      <w:u w:val="single"/>
    </w:rPr>
  </w:style>
  <w:style w:type="paragraph" w:customStyle="1" w:styleId="2ColumnHeading">
    <w:name w:val="2Column Heading"/>
    <w:basedOn w:val="BodyText"/>
    <w:qFormat/>
    <w:rsid w:val="00DE07B8"/>
    <w:pPr>
      <w:spacing w:after="60"/>
      <w:ind w:left="-2268"/>
    </w:pPr>
    <w:rPr>
      <w:b/>
    </w:rPr>
  </w:style>
  <w:style w:type="paragraph" w:customStyle="1" w:styleId="Heading1TOC">
    <w:name w:val="Heading1 TOC"/>
    <w:basedOn w:val="Normal"/>
    <w:qFormat/>
    <w:rsid w:val="00DE07B8"/>
    <w:pPr>
      <w:spacing w:before="240" w:after="120"/>
    </w:pPr>
    <w:rPr>
      <w:rFonts w:ascii="Times New Roman" w:hAnsi="Times New Roman"/>
      <w:b/>
      <w:sz w:val="32"/>
    </w:rPr>
  </w:style>
  <w:style w:type="paragraph" w:customStyle="1" w:styleId="Heading2TOC">
    <w:name w:val="Heading2 TOC"/>
    <w:basedOn w:val="Normal"/>
    <w:qFormat/>
    <w:rsid w:val="00DE07B8"/>
    <w:pPr>
      <w:spacing w:before="240" w:after="60"/>
    </w:pPr>
    <w:rPr>
      <w:rFonts w:ascii="Times New Roman" w:hAnsi="Times New Roman"/>
      <w:b/>
      <w:sz w:val="28"/>
    </w:rPr>
  </w:style>
  <w:style w:type="character" w:customStyle="1" w:styleId="Underline">
    <w:name w:val="Underline"/>
    <w:basedOn w:val="DefaultParagraphFont"/>
    <w:qFormat/>
    <w:rsid w:val="00DE07B8"/>
    <w:rPr>
      <w:u w:val="single"/>
    </w:rPr>
  </w:style>
  <w:style w:type="character" w:customStyle="1" w:styleId="BoldandItalics">
    <w:name w:val="Bold and Italics"/>
    <w:qFormat/>
    <w:rsid w:val="00DE07B8"/>
    <w:rPr>
      <w:b/>
      <w:i/>
      <w:u w:val="none"/>
    </w:rPr>
  </w:style>
  <w:style w:type="paragraph" w:styleId="BalloonText">
    <w:name w:val="Balloon Text"/>
    <w:basedOn w:val="Normal"/>
    <w:link w:val="BalloonTextChar"/>
    <w:rsid w:val="00DE07B8"/>
    <w:rPr>
      <w:rFonts w:ascii="Tahoma" w:hAnsi="Tahoma" w:cs="Tahoma"/>
      <w:sz w:val="16"/>
      <w:szCs w:val="16"/>
    </w:rPr>
  </w:style>
  <w:style w:type="character" w:customStyle="1" w:styleId="BalloonTextChar">
    <w:name w:val="Balloon Text Char"/>
    <w:basedOn w:val="DefaultParagraphFont"/>
    <w:link w:val="BalloonText"/>
    <w:rsid w:val="00DE07B8"/>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DE07B8"/>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DE07B8"/>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DE07B8"/>
    <w:rPr>
      <w:b/>
      <w:color w:val="660033"/>
      <w:spacing w:val="0"/>
    </w:rPr>
  </w:style>
  <w:style w:type="paragraph" w:customStyle="1" w:styleId="Nameditemlist">
    <w:name w:val="Named item list"/>
    <w:basedOn w:val="BodyText"/>
    <w:qFormat/>
    <w:rsid w:val="00DE07B8"/>
    <w:pPr>
      <w:tabs>
        <w:tab w:val="left" w:pos="2835"/>
      </w:tabs>
      <w:ind w:left="2835" w:hanging="2835"/>
    </w:pPr>
  </w:style>
  <w:style w:type="paragraph" w:customStyle="1" w:styleId="BodyTextnopadding">
    <w:name w:val="Body Text no padding"/>
    <w:basedOn w:val="BodyText"/>
    <w:qFormat/>
    <w:rsid w:val="00DE07B8"/>
    <w:pPr>
      <w:spacing w:before="0" w:after="0"/>
    </w:pPr>
  </w:style>
  <w:style w:type="paragraph" w:customStyle="1" w:styleId="BodyTextBold">
    <w:name w:val="Body Text Bold"/>
    <w:basedOn w:val="BodyText"/>
    <w:qFormat/>
    <w:rsid w:val="00DE07B8"/>
    <w:rPr>
      <w:b/>
    </w:rPr>
  </w:style>
  <w:style w:type="character" w:styleId="Hyperlink">
    <w:name w:val="Hyperlink"/>
    <w:basedOn w:val="DefaultParagraphFont"/>
    <w:uiPriority w:val="99"/>
    <w:unhideWhenUsed/>
    <w:rsid w:val="0029644F"/>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706</Words>
  <Characters>4373</Characters>
  <Application>Microsoft Office Word</Application>
  <DocSecurity>0</DocSecurity>
  <Lines>208</Lines>
  <Paragraphs>101</Paragraphs>
  <ScaleCrop>false</ScaleCrop>
  <Company>Author-it Software Corporation Ltd.</Company>
  <LinksUpToDate>false</LinksUpToDate>
  <CharactersWithSpaces>4978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CPCCWP5003 Design waterproofing to internal wet area</dc:title>
  <dc:subject>Approved</dc:subject>
  <dc:creator>BuildSkills Australia</dc:creator>
  <cp:keywords>Release: 1</cp:keywords>
  <dc:description>Review Date: 12 April 2008</dc:description>
  <cp:lastModifiedBy>HSD_TPCMSd.prod</cp:lastModifiedBy>
  <cp:revision>3</cp:revision>
  <dcterms:created xsi:type="dcterms:W3CDTF">2024-12-24T01:09:00Z</dcterms:created>
  <dcterms:modified xsi:type="dcterms:W3CDTF">2024-12-24T01:09:00Z</dcterms:modified>
</cp:coreProperties>
</file>