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EA1" w:rsidP="00592E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CPCCWP3002 Apply waterproofing process to internal wet areas</w:t>
      </w:r>
      <w:r>
        <w:fldChar w:fldCharType="end"/>
      </w:r>
    </w:p>
    <w:p w:rsidR="00592EA1" w:rsidP="00592EA1">
      <w:pPr>
        <w:pStyle w:val="Version"/>
        <w:sectPr w:rsidSect="008873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87337" w:rsidP="00887337">
      <w:pPr>
        <w:pStyle w:val="SuperHeading"/>
      </w:pPr>
      <w:r w:rsidRPr="00887337">
        <w:t>Assessment Requirements for CPCCWP3002 Apply waterproofing process to internal wet areas</w:t>
      </w:r>
    </w:p>
    <w:p w:rsidR="00000000" w:rsidRPr="00887337" w:rsidP="00887337">
      <w:pPr>
        <w:pStyle w:val="Heading1"/>
      </w:pPr>
      <w:bookmarkStart w:id="1" w:name="O_1290769"/>
      <w:bookmarkEnd w:id="1"/>
      <w:r w:rsidRPr="008873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87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37">
            <w:pPr>
              <w:pStyle w:val="BodyText"/>
              <w:rPr>
                <w:lang w:val="en-NZ"/>
              </w:rPr>
            </w:pPr>
            <w:r w:rsidRPr="0088733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37">
            <w:pPr>
              <w:pStyle w:val="BodyText"/>
              <w:rPr>
                <w:lang w:val="en-NZ"/>
              </w:rPr>
            </w:pPr>
            <w:r w:rsidRPr="00887337">
              <w:t>Updated reference to general construction induction training program.</w:t>
            </w:r>
          </w:p>
        </w:tc>
      </w:tr>
      <w:tr w:rsidTr="00887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37">
            <w:pPr>
              <w:pStyle w:val="BodyText"/>
              <w:rPr>
                <w:lang w:val="en-NZ"/>
              </w:rPr>
            </w:pPr>
            <w:r w:rsidRPr="0088733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37" w:rsidP="00887337">
            <w:pPr>
              <w:pStyle w:val="BodyText"/>
            </w:pPr>
            <w:r w:rsidRPr="00887337">
              <w:t>This version first released with CPC Construction, Plumbing and Services Training Package Release 5.1.</w:t>
            </w:r>
          </w:p>
          <w:p w:rsidR="00000000" w:rsidP="00887337">
            <w:pPr>
              <w:pStyle w:val="BodyText"/>
              <w:rPr>
                <w:lang w:val="en-NZ"/>
              </w:rPr>
            </w:pPr>
            <w:r w:rsidRPr="00887337">
              <w:t>Changes to Performance Evidence and Unit Sector.</w:t>
            </w:r>
          </w:p>
        </w:tc>
      </w:tr>
      <w:tr w:rsidTr="00887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37">
            <w:pPr>
              <w:pStyle w:val="BodyText"/>
              <w:rPr>
                <w:lang w:val="en-NZ"/>
              </w:rPr>
            </w:pPr>
            <w:r w:rsidRPr="0088733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37" w:rsidP="00887337">
            <w:pPr>
              <w:pStyle w:val="BodyText"/>
            </w:pPr>
            <w:r w:rsidRPr="00887337">
              <w:t>This version first released with CPC Construction, Plumbing and Services Training Package Rel</w:t>
            </w:r>
            <w:r w:rsidRPr="00887337">
              <w:t>ease 5.0.</w:t>
            </w:r>
          </w:p>
          <w:p w:rsidR="00000000" w:rsidRPr="00887337" w:rsidP="00887337">
            <w:pPr>
              <w:pStyle w:val="BodyText"/>
            </w:pPr>
            <w:r w:rsidRPr="00887337">
              <w:t>Supersedes and equivalent to CPCCWP3002A Apply waterproofing process to internal wet areas.  Updated to meet the Standards for Training Packages 2012.</w:t>
            </w:r>
          </w:p>
        </w:tc>
      </w:tr>
    </w:tbl>
    <w:p w:rsidR="00000000" w:rsidRPr="00887337" w:rsidP="00887337">
      <w:pPr>
        <w:pStyle w:val="BodyText"/>
      </w:pPr>
    </w:p>
    <w:p w:rsidR="00000000" w:rsidRPr="00887337" w:rsidP="00887337">
      <w:pPr>
        <w:pStyle w:val="AllowPageBreak"/>
      </w:pPr>
    </w:p>
    <w:p w:rsidR="00000000" w:rsidRPr="00887337" w:rsidP="00887337">
      <w:pPr>
        <w:pStyle w:val="Heading1"/>
      </w:pPr>
      <w:bookmarkStart w:id="2" w:name="O_1290768"/>
      <w:bookmarkEnd w:id="2"/>
      <w:r w:rsidRPr="00887337">
        <w:t>Performance Evidence</w:t>
      </w:r>
    </w:p>
    <w:p w:rsidR="00000000" w:rsidRPr="00887337" w:rsidP="00592EA1">
      <w:pPr>
        <w:pStyle w:val="BodyText"/>
      </w:pPr>
      <w:r w:rsidRPr="00887337">
        <w:t>To demonstrate competency, a candidate must satisfy a</w:t>
      </w:r>
      <w:r w:rsidRPr="00887337">
        <w:t xml:space="preserve">ll of the elements, performance criteria and foundation skills of this unit by waterproofing an internal wet area, including: </w:t>
      </w:r>
    </w:p>
    <w:p w:rsidR="00000000" w:rsidRPr="00887337" w:rsidP="00887337">
      <w:pPr>
        <w:pStyle w:val="ListBullet"/>
      </w:pPr>
      <w:r w:rsidRPr="00887337">
        <w:t>one shower area, a minimum 1800 millimetres high, 900 millimetres x 900 millimetres wide, incorporating:</w:t>
      </w:r>
    </w:p>
    <w:p w:rsidR="00000000" w:rsidRPr="00887337" w:rsidP="00887337">
      <w:pPr>
        <w:pStyle w:val="ListBullet2"/>
      </w:pPr>
      <w:r w:rsidRPr="00887337">
        <w:t>a niche</w:t>
      </w:r>
    </w:p>
    <w:p w:rsidR="00000000" w:rsidRPr="00887337" w:rsidP="00887337">
      <w:pPr>
        <w:pStyle w:val="ListBullet2"/>
      </w:pPr>
      <w:r w:rsidRPr="00887337">
        <w:t>tap penetrations</w:t>
      </w:r>
    </w:p>
    <w:p w:rsidR="00000000" w:rsidRPr="00887337" w:rsidP="00887337">
      <w:pPr>
        <w:pStyle w:val="ListBullet2"/>
      </w:pPr>
      <w:r w:rsidRPr="00887337">
        <w:t>draining connection</w:t>
      </w:r>
    </w:p>
    <w:p w:rsidR="00000000" w:rsidRPr="00887337" w:rsidP="00887337">
      <w:pPr>
        <w:pStyle w:val="ListBullet2"/>
      </w:pPr>
      <w:r w:rsidRPr="00887337">
        <w:t>water stop/hob</w:t>
      </w:r>
    </w:p>
    <w:p w:rsidR="00000000" w:rsidRPr="00887337" w:rsidP="00887337">
      <w:pPr>
        <w:pStyle w:val="ListBullet"/>
      </w:pPr>
      <w:r w:rsidRPr="00887337">
        <w:t>surrounds for an inserted bath with periphery barrier or water stop.</w:t>
      </w:r>
    </w:p>
    <w:p w:rsidR="00000000" w:rsidRPr="00887337" w:rsidP="00592EA1">
      <w:pPr>
        <w:pStyle w:val="BodyText"/>
      </w:pPr>
      <w:r w:rsidRPr="00887337">
        <w:t xml:space="preserve">All work must be performed to the standard required in the workplace and must comply with laws and regulations, Australian Standards, </w:t>
      </w:r>
      <w:r w:rsidRPr="00887337">
        <w:t>work health and safety (WHS) and environmental requirements, manufacturers’ specifications and workplace requirements.</w:t>
      </w:r>
    </w:p>
    <w:p w:rsidR="00000000" w:rsidRPr="00887337" w:rsidP="00887337">
      <w:pPr>
        <w:pStyle w:val="Heading1"/>
      </w:pPr>
      <w:bookmarkStart w:id="3" w:name="O_1290767"/>
      <w:bookmarkEnd w:id="3"/>
      <w:r w:rsidRPr="00887337">
        <w:t>Knowledge Evidence</w:t>
      </w:r>
    </w:p>
    <w:p w:rsidR="00000000" w:rsidRPr="00887337" w:rsidP="00592EA1">
      <w:pPr>
        <w:pStyle w:val="BodyText"/>
      </w:pPr>
      <w:r w:rsidRPr="00887337">
        <w:t>To be competent in this unit, a candidate must demonstrate knowledge of:</w:t>
      </w:r>
    </w:p>
    <w:p w:rsidR="00000000" w:rsidRPr="00887337" w:rsidP="00887337">
      <w:pPr>
        <w:pStyle w:val="ListBullet"/>
      </w:pPr>
      <w:r w:rsidRPr="00887337">
        <w:t>requirements of Australia</w:t>
      </w:r>
      <w:r w:rsidRPr="00887337">
        <w:t>n Standards for waterproofing internal wet areas</w:t>
      </w:r>
    </w:p>
    <w:p w:rsidR="00000000" w:rsidRPr="00887337" w:rsidP="00887337">
      <w:pPr>
        <w:pStyle w:val="ListBullet"/>
      </w:pPr>
      <w:r w:rsidRPr="00887337">
        <w:t>safety requirements for waterproofing internal wet areas, including:</w:t>
      </w:r>
    </w:p>
    <w:p w:rsidR="00000000" w:rsidRPr="00887337" w:rsidP="00887337">
      <w:pPr>
        <w:pStyle w:val="ListBullet2"/>
      </w:pPr>
      <w:r w:rsidRPr="00887337">
        <w:t>job safety analyses and/or safe work method statements in accordance with Safe Work Australia Code of Practice for Construction Work or s</w:t>
      </w:r>
      <w:r w:rsidRPr="00887337">
        <w:t>tate and/or territory equivalent</w:t>
      </w:r>
    </w:p>
    <w:p w:rsidR="00000000" w:rsidRPr="00887337" w:rsidP="00887337">
      <w:pPr>
        <w:pStyle w:val="ListBullet2"/>
      </w:pPr>
      <w:r w:rsidRPr="00887337">
        <w:t>safety data sheets (SDS)</w:t>
      </w:r>
    </w:p>
    <w:p w:rsidR="00000000" w:rsidRPr="00887337" w:rsidP="00887337">
      <w:pPr>
        <w:pStyle w:val="ListBullet2"/>
      </w:pPr>
      <w:r w:rsidRPr="00887337">
        <w:t>personal protective equipment (PPE)</w:t>
      </w:r>
    </w:p>
    <w:p w:rsidR="00000000" w:rsidRPr="00887337" w:rsidP="00887337">
      <w:pPr>
        <w:pStyle w:val="ListBullet"/>
      </w:pPr>
      <w:r w:rsidRPr="00887337">
        <w:t>manufacturers’ specifications for waterproofing systems and materials</w:t>
      </w:r>
    </w:p>
    <w:p w:rsidR="00000000" w:rsidRPr="00887337" w:rsidP="00887337">
      <w:pPr>
        <w:pStyle w:val="ListBullet"/>
      </w:pPr>
      <w:r w:rsidRPr="00887337">
        <w:t>assessment and appreciation of moisture content in substrate materials for waterproofing internal wet areas</w:t>
      </w:r>
    </w:p>
    <w:p w:rsidR="00000000" w:rsidRPr="00887337" w:rsidP="00887337">
      <w:pPr>
        <w:pStyle w:val="ListBullet"/>
      </w:pPr>
      <w:r w:rsidRPr="00887337">
        <w:t>waterproofing around fixtures:</w:t>
      </w:r>
    </w:p>
    <w:p w:rsidR="00000000" w:rsidRPr="00887337" w:rsidP="00887337">
      <w:pPr>
        <w:pStyle w:val="ListBullet2"/>
      </w:pPr>
      <w:r w:rsidRPr="00887337">
        <w:t>vanities</w:t>
      </w:r>
    </w:p>
    <w:p w:rsidR="00000000" w:rsidRPr="00887337" w:rsidP="00887337">
      <w:pPr>
        <w:pStyle w:val="ListBullet2"/>
      </w:pPr>
      <w:r w:rsidRPr="00887337">
        <w:t>toilets</w:t>
      </w:r>
    </w:p>
    <w:p w:rsidR="00000000" w:rsidRPr="00887337" w:rsidP="00887337">
      <w:pPr>
        <w:pStyle w:val="ListBullet2"/>
      </w:pPr>
      <w:r w:rsidRPr="00887337">
        <w:t>shower screens</w:t>
      </w:r>
    </w:p>
    <w:p w:rsidR="00000000" w:rsidRPr="00887337" w:rsidP="00887337">
      <w:pPr>
        <w:pStyle w:val="ListBullet2"/>
      </w:pPr>
      <w:r w:rsidRPr="00887337">
        <w:t>taps</w:t>
      </w:r>
    </w:p>
    <w:p w:rsidR="00000000" w:rsidRPr="00887337" w:rsidP="00887337">
      <w:pPr>
        <w:pStyle w:val="ListBullet2"/>
      </w:pPr>
      <w:r w:rsidRPr="00887337">
        <w:t>penetrations</w:t>
      </w:r>
    </w:p>
    <w:p w:rsidR="00000000" w:rsidRPr="00887337" w:rsidP="00887337">
      <w:pPr>
        <w:pStyle w:val="ListBullet"/>
      </w:pPr>
      <w:r w:rsidRPr="00887337">
        <w:t>waterproofing materials, processes and systems for internal wet a</w:t>
      </w:r>
      <w:r w:rsidRPr="00887337">
        <w:t xml:space="preserve">reas: </w:t>
      </w:r>
    </w:p>
    <w:p w:rsidR="00000000" w:rsidRPr="00887337" w:rsidP="00887337">
      <w:pPr>
        <w:pStyle w:val="ListBullet2"/>
      </w:pPr>
      <w:r w:rsidRPr="00887337">
        <w:t>waterproofing systems/materials:</w:t>
      </w:r>
    </w:p>
    <w:p w:rsidR="00000000" w:rsidRPr="00887337" w:rsidP="00887337">
      <w:pPr>
        <w:pStyle w:val="ListBullet3"/>
      </w:pPr>
      <w:r w:rsidRPr="00887337">
        <w:t>cementitious</w:t>
      </w:r>
    </w:p>
    <w:p w:rsidR="00000000" w:rsidRPr="00887337" w:rsidP="00887337">
      <w:pPr>
        <w:pStyle w:val="ListBullet3"/>
      </w:pPr>
      <w:r w:rsidRPr="00887337">
        <w:t>water-based</w:t>
      </w:r>
    </w:p>
    <w:p w:rsidR="00000000" w:rsidRPr="00887337" w:rsidP="00887337">
      <w:pPr>
        <w:pStyle w:val="ListBullet3"/>
      </w:pPr>
      <w:r w:rsidRPr="00887337">
        <w:t>moisture-cured</w:t>
      </w:r>
    </w:p>
    <w:p w:rsidR="00000000" w:rsidRPr="00887337" w:rsidP="00887337">
      <w:pPr>
        <w:pStyle w:val="ListBullet3"/>
      </w:pPr>
      <w:r w:rsidRPr="00887337">
        <w:t>sealants</w:t>
      </w:r>
    </w:p>
    <w:p w:rsidR="00000000" w:rsidRPr="00887337" w:rsidP="00887337">
      <w:pPr>
        <w:pStyle w:val="ListBullet3"/>
      </w:pPr>
      <w:r w:rsidRPr="00887337">
        <w:t>sprayed material membranes</w:t>
      </w:r>
    </w:p>
    <w:p w:rsidR="00000000" w:rsidRPr="00887337" w:rsidP="00887337">
      <w:pPr>
        <w:pStyle w:val="ListBullet3"/>
      </w:pPr>
      <w:r w:rsidRPr="00887337">
        <w:t>sheet:</w:t>
      </w:r>
    </w:p>
    <w:p w:rsidR="00000000" w:rsidRPr="00887337" w:rsidP="00887337">
      <w:pPr>
        <w:pStyle w:val="ListBullet4"/>
      </w:pPr>
      <w:r w:rsidRPr="00887337">
        <w:t>butyl</w:t>
      </w:r>
    </w:p>
    <w:p w:rsidR="00000000" w:rsidRPr="00887337" w:rsidP="00887337">
      <w:pPr>
        <w:pStyle w:val="ListBullet4"/>
      </w:pPr>
      <w:r w:rsidRPr="00887337">
        <w:t>ethylene propylene diene monomer rubber (EPDM)</w:t>
      </w:r>
    </w:p>
    <w:p w:rsidR="00000000" w:rsidRPr="00887337" w:rsidP="00887337">
      <w:pPr>
        <w:pStyle w:val="ListBullet4"/>
      </w:pPr>
      <w:r w:rsidRPr="00887337">
        <w:t>polyvinyl chloride (PVC)</w:t>
      </w:r>
    </w:p>
    <w:p w:rsidR="00000000" w:rsidRPr="00887337" w:rsidP="00887337">
      <w:pPr>
        <w:pStyle w:val="ListBullet4"/>
      </w:pPr>
      <w:r w:rsidRPr="00887337">
        <w:t xml:space="preserve">decoupling </w:t>
      </w:r>
    </w:p>
    <w:p w:rsidR="00000000" w:rsidRPr="00887337" w:rsidP="00887337">
      <w:pPr>
        <w:pStyle w:val="ListBullet2"/>
      </w:pPr>
      <w:r w:rsidRPr="00887337">
        <w:t>ancillary materials:</w:t>
      </w:r>
    </w:p>
    <w:p w:rsidR="00000000" w:rsidRPr="00887337" w:rsidP="00887337">
      <w:pPr>
        <w:pStyle w:val="ListBullet3"/>
      </w:pPr>
      <w:r w:rsidRPr="00887337">
        <w:t>adhesives</w:t>
      </w:r>
    </w:p>
    <w:p w:rsidR="00000000" w:rsidRPr="00887337" w:rsidP="00887337">
      <w:pPr>
        <w:pStyle w:val="ListBullet3"/>
      </w:pPr>
      <w:r w:rsidRPr="00887337">
        <w:t>sealants</w:t>
      </w:r>
    </w:p>
    <w:p w:rsidR="00000000" w:rsidRPr="00887337" w:rsidP="00887337">
      <w:pPr>
        <w:pStyle w:val="ListBullet3"/>
      </w:pPr>
      <w:r w:rsidRPr="00887337">
        <w:t>drainage flanges</w:t>
      </w:r>
    </w:p>
    <w:p w:rsidR="00000000" w:rsidRPr="00887337" w:rsidP="00887337">
      <w:pPr>
        <w:pStyle w:val="ListBullet3"/>
      </w:pPr>
      <w:r w:rsidRPr="00887337">
        <w:t>penetration flashings</w:t>
      </w:r>
    </w:p>
    <w:p w:rsidR="00000000" w:rsidRPr="00887337" w:rsidP="00887337">
      <w:pPr>
        <w:pStyle w:val="ListBullet3"/>
      </w:pPr>
      <w:r w:rsidRPr="00887337">
        <w:t>water stops</w:t>
      </w:r>
    </w:p>
    <w:p w:rsidR="00000000" w:rsidRPr="00887337" w:rsidP="00887337">
      <w:pPr>
        <w:pStyle w:val="ListBullet"/>
      </w:pPr>
      <w:r w:rsidRPr="00887337">
        <w:t>internal waterproofing materials, processes and techniques</w:t>
      </w:r>
    </w:p>
    <w:p w:rsidR="00000000" w:rsidRPr="00887337" w:rsidP="00887337">
      <w:pPr>
        <w:pStyle w:val="ListBullet"/>
      </w:pPr>
      <w:r w:rsidRPr="00887337">
        <w:t>types and uses of materials storage and environmentally friendly waste management</w:t>
      </w:r>
    </w:p>
    <w:p w:rsidR="00000000" w:rsidRPr="00887337" w:rsidP="00887337">
      <w:pPr>
        <w:pStyle w:val="ListBullet"/>
      </w:pPr>
      <w:r w:rsidRPr="00887337">
        <w:t>types and uses of plans, drawings and specifications for waterproofing internal wet areas</w:t>
      </w:r>
    </w:p>
    <w:p w:rsidR="00000000" w:rsidRPr="00887337" w:rsidP="00887337">
      <w:pPr>
        <w:pStyle w:val="ListBullet"/>
      </w:pPr>
      <w:r w:rsidRPr="00887337">
        <w:t>types and uses of tools and equipment for waterproofing internal wet areas</w:t>
      </w:r>
    </w:p>
    <w:p w:rsidR="00000000" w:rsidRPr="00887337" w:rsidP="00887337">
      <w:pPr>
        <w:pStyle w:val="ListBullet"/>
      </w:pPr>
      <w:r w:rsidRPr="00887337">
        <w:t>principles and considerations of water exclusion</w:t>
      </w:r>
    </w:p>
    <w:p w:rsidR="00000000" w:rsidRPr="00887337" w:rsidP="00887337">
      <w:pPr>
        <w:pStyle w:val="ListBullet"/>
      </w:pPr>
      <w:r w:rsidRPr="00887337">
        <w:t xml:space="preserve">processes for the calculation of material </w:t>
      </w:r>
      <w:r w:rsidRPr="00887337">
        <w:t>requirements for waterproofing internal wet areas</w:t>
      </w:r>
    </w:p>
    <w:p w:rsidR="00000000" w:rsidRPr="00887337" w:rsidP="00887337">
      <w:pPr>
        <w:pStyle w:val="ListBullet"/>
      </w:pPr>
      <w:r w:rsidRPr="00887337">
        <w:t>quality requirements for waterproofing internal wet areas</w:t>
      </w:r>
      <w:r w:rsidRPr="00887337">
        <w:tab/>
      </w:r>
    </w:p>
    <w:p w:rsidR="00000000" w:rsidRPr="00887337" w:rsidP="00887337">
      <w:pPr>
        <w:pStyle w:val="ListBullet"/>
      </w:pPr>
      <w:r w:rsidRPr="00887337">
        <w:t>termination and flashing principles.</w:t>
      </w:r>
    </w:p>
    <w:p w:rsidR="00000000" w:rsidRPr="00887337" w:rsidP="00887337">
      <w:pPr>
        <w:pStyle w:val="AllowPageBreak"/>
      </w:pPr>
    </w:p>
    <w:p w:rsidR="00000000" w:rsidRPr="00887337" w:rsidP="00887337">
      <w:pPr>
        <w:pStyle w:val="Heading1"/>
      </w:pPr>
      <w:bookmarkStart w:id="4" w:name="O_1290766"/>
      <w:bookmarkEnd w:id="4"/>
      <w:r w:rsidRPr="00887337">
        <w:t>Assessment Conditions</w:t>
      </w:r>
    </w:p>
    <w:p w:rsidR="00000000" w:rsidRPr="00887337" w:rsidP="00592EA1">
      <w:pPr>
        <w:pStyle w:val="BodyText"/>
      </w:pPr>
      <w:r w:rsidRPr="00887337">
        <w:t>Assessors must meet the requirements for assessors contained in the S</w:t>
      </w:r>
      <w:r w:rsidRPr="00887337">
        <w:t>tandards for Registered Training Organisations.</w:t>
      </w:r>
    </w:p>
    <w:p w:rsidR="00000000" w:rsidRPr="00887337" w:rsidP="00592EA1">
      <w:pPr>
        <w:pStyle w:val="BodyText"/>
      </w:pPr>
      <w:r w:rsidRPr="00887337">
        <w:t>This unit must be assessed in the workplace or a close simulation using realistic workplace conditions, materials, activities, responsibilities, procedures, safety requirements and environmental consideration</w:t>
      </w:r>
      <w:r w:rsidRPr="00887337">
        <w:t xml:space="preserve">s. </w:t>
      </w:r>
    </w:p>
    <w:p w:rsidR="00000000" w:rsidRPr="00887337" w:rsidP="00887337">
      <w:pPr>
        <w:pStyle w:val="Heading1"/>
      </w:pPr>
      <w:bookmarkStart w:id="5" w:name="O_1290779"/>
      <w:bookmarkEnd w:id="5"/>
      <w:r w:rsidRPr="00887337">
        <w:t>Links</w:t>
      </w:r>
    </w:p>
    <w:p w:rsidR="00000000" w:rsidRPr="00887337" w:rsidP="00592EA1">
      <w:pPr>
        <w:pStyle w:val="BodyText"/>
      </w:pPr>
      <w:r w:rsidRPr="0088733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13C9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87337" w:rsidP="00887337"/>
    <w:sectPr w:rsidSect="008873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37" w:rsidRPr="00592EA1" w:rsidP="00592E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A1" w:rsidP="008873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2EA1" w:rsidP="008873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2EA1" w:rsidP="008873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337" w:rsidRPr="00592EA1" w:rsidP="00592E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A1" w:rsidRPr="002D2AF8" w:rsidP="008873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CPCCWP3002 Apply waterproofing process to internal wet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92EA1" w:rsidP="008873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62E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3CA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3C7E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3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3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3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3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3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3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3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3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3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3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3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337"/>
  </w:style>
  <w:style w:type="character" w:customStyle="1" w:styleId="Heading1Char">
    <w:name w:val="Heading 1 Char"/>
    <w:basedOn w:val="DefaultParagraphFont"/>
    <w:link w:val="Heading1"/>
    <w:rsid w:val="008873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3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3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337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733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73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3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7337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337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8873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3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3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3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3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3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3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3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3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3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3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3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3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3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3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3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7337"/>
    <w:rPr>
      <w:b/>
      <w:spacing w:val="0"/>
    </w:rPr>
  </w:style>
  <w:style w:type="paragraph" w:customStyle="1" w:styleId="SuperTitle">
    <w:name w:val="SuperTitle"/>
    <w:basedOn w:val="Title"/>
    <w:rsid w:val="008873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3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3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73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3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3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3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3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3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3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3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3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7337"/>
    <w:rPr>
      <w:i/>
    </w:rPr>
  </w:style>
  <w:style w:type="paragraph" w:styleId="Caption">
    <w:name w:val="caption"/>
    <w:basedOn w:val="BodyText"/>
    <w:next w:val="Normal"/>
    <w:qFormat/>
    <w:rsid w:val="008873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3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3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337"/>
  </w:style>
  <w:style w:type="paragraph" w:styleId="TableofFigures">
    <w:name w:val="table of figures"/>
    <w:basedOn w:val="Normal"/>
    <w:next w:val="Normal"/>
    <w:semiHidden/>
    <w:rsid w:val="008873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337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887337"/>
    <w:rPr>
      <w:rFonts w:ascii="Wingdings" w:hAnsi="Wingdings"/>
    </w:rPr>
  </w:style>
  <w:style w:type="paragraph" w:customStyle="1" w:styleId="TableHeading">
    <w:name w:val="Table Heading"/>
    <w:basedOn w:val="HeadingBase"/>
    <w:rsid w:val="008873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337"/>
    <w:rPr>
      <w:color w:val="0033CC"/>
      <w:u w:val="none"/>
    </w:rPr>
  </w:style>
  <w:style w:type="paragraph" w:customStyle="1" w:styleId="BodyTextRight">
    <w:name w:val="Body Text Right"/>
    <w:basedOn w:val="BodyText"/>
    <w:rsid w:val="008873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3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337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3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3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3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337"/>
    <w:rPr>
      <w:sz w:val="32"/>
    </w:rPr>
  </w:style>
  <w:style w:type="paragraph" w:customStyle="1" w:styleId="HeadingProcedure">
    <w:name w:val="Heading Procedure"/>
    <w:basedOn w:val="HeadingBase"/>
    <w:next w:val="Normal"/>
    <w:rsid w:val="008873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337"/>
    <w:pPr>
      <w:spacing w:before="60" w:after="60"/>
    </w:pPr>
  </w:style>
  <w:style w:type="paragraph" w:styleId="ListContinue">
    <w:name w:val="List Continue"/>
    <w:basedOn w:val="List"/>
    <w:rsid w:val="00887337"/>
    <w:pPr>
      <w:ind w:firstLine="0"/>
    </w:pPr>
  </w:style>
  <w:style w:type="paragraph" w:customStyle="1" w:styleId="ListNote">
    <w:name w:val="List Note"/>
    <w:basedOn w:val="List"/>
    <w:rsid w:val="008873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3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3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337"/>
    <w:rPr>
      <w:rFonts w:ascii="Courier New" w:hAnsi="Courier New"/>
    </w:rPr>
  </w:style>
  <w:style w:type="paragraph" w:customStyle="1" w:styleId="NoteBullet">
    <w:name w:val="Note Bullet"/>
    <w:basedOn w:val="Note"/>
    <w:rsid w:val="008873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3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3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3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33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873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3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337"/>
    <w:rPr>
      <w:b/>
      <w:smallCaps/>
    </w:rPr>
  </w:style>
  <w:style w:type="paragraph" w:customStyle="1" w:styleId="TableListNumber">
    <w:name w:val="Table List Number"/>
    <w:basedOn w:val="ListNumber"/>
    <w:rsid w:val="008873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3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337"/>
    <w:pPr>
      <w:numPr>
        <w:numId w:val="11"/>
      </w:numPr>
    </w:pPr>
  </w:style>
  <w:style w:type="paragraph" w:customStyle="1" w:styleId="ListAlpha2">
    <w:name w:val="List Alpha 2"/>
    <w:basedOn w:val="List2"/>
    <w:rsid w:val="00887337"/>
    <w:pPr>
      <w:numPr>
        <w:numId w:val="10"/>
      </w:numPr>
    </w:pPr>
  </w:style>
  <w:style w:type="paragraph" w:styleId="List2">
    <w:name w:val="List 2"/>
    <w:basedOn w:val="BodyText"/>
    <w:rsid w:val="008873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3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3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337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887337"/>
    <w:pPr>
      <w:numPr>
        <w:numId w:val="6"/>
      </w:numPr>
    </w:pPr>
  </w:style>
  <w:style w:type="paragraph" w:styleId="ListContinue2">
    <w:name w:val="List Continue 2"/>
    <w:basedOn w:val="List2"/>
    <w:rsid w:val="00887337"/>
    <w:pPr>
      <w:ind w:firstLine="0"/>
    </w:pPr>
  </w:style>
  <w:style w:type="paragraph" w:styleId="ListContinue3">
    <w:name w:val="List Continue 3"/>
    <w:basedOn w:val="List3"/>
    <w:rsid w:val="00887337"/>
    <w:pPr>
      <w:ind w:left="1021" w:firstLine="0"/>
    </w:pPr>
  </w:style>
  <w:style w:type="paragraph" w:styleId="ListContinue4">
    <w:name w:val="List Continue 4"/>
    <w:basedOn w:val="List4"/>
    <w:rsid w:val="00887337"/>
    <w:pPr>
      <w:ind w:firstLine="0"/>
    </w:pPr>
  </w:style>
  <w:style w:type="paragraph" w:styleId="ListContinue5">
    <w:name w:val="List Continue 5"/>
    <w:basedOn w:val="List5"/>
    <w:rsid w:val="00887337"/>
    <w:pPr>
      <w:ind w:firstLine="0"/>
    </w:pPr>
  </w:style>
  <w:style w:type="paragraph" w:styleId="ListNumber3">
    <w:name w:val="List Number 3"/>
    <w:basedOn w:val="List3"/>
    <w:rsid w:val="00887337"/>
    <w:pPr>
      <w:numPr>
        <w:numId w:val="7"/>
      </w:numPr>
    </w:pPr>
  </w:style>
  <w:style w:type="paragraph" w:styleId="ListNumber4">
    <w:name w:val="List Number 4"/>
    <w:basedOn w:val="List4"/>
    <w:rsid w:val="00887337"/>
    <w:pPr>
      <w:numPr>
        <w:numId w:val="8"/>
      </w:numPr>
    </w:pPr>
  </w:style>
  <w:style w:type="paragraph" w:styleId="ListNumber5">
    <w:name w:val="List Number 5"/>
    <w:basedOn w:val="List5"/>
    <w:rsid w:val="00887337"/>
    <w:pPr>
      <w:numPr>
        <w:numId w:val="9"/>
      </w:numPr>
    </w:pPr>
  </w:style>
  <w:style w:type="paragraph" w:styleId="BlockText">
    <w:name w:val="Block Text"/>
    <w:basedOn w:val="Normal"/>
    <w:rsid w:val="008873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3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337"/>
    <w:rPr>
      <w:sz w:val="16"/>
      <w:vertAlign w:val="superscript"/>
    </w:rPr>
  </w:style>
  <w:style w:type="character" w:customStyle="1" w:styleId="Symbols">
    <w:name w:val="Symbols"/>
    <w:basedOn w:val="DefaultParagraphFont"/>
    <w:rsid w:val="00887337"/>
    <w:rPr>
      <w:rFonts w:ascii="Symbol" w:hAnsi="Symbol"/>
    </w:rPr>
  </w:style>
  <w:style w:type="character" w:customStyle="1" w:styleId="MenuOptions">
    <w:name w:val="Menu Options"/>
    <w:basedOn w:val="DefaultParagraphFont"/>
    <w:rsid w:val="008873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337"/>
    <w:rPr>
      <w:b/>
    </w:rPr>
  </w:style>
  <w:style w:type="character" w:customStyle="1" w:styleId="Underlined">
    <w:name w:val="Underlined"/>
    <w:basedOn w:val="DefaultParagraphFont"/>
    <w:rsid w:val="00887337"/>
    <w:rPr>
      <w:u w:val="single"/>
    </w:rPr>
  </w:style>
  <w:style w:type="paragraph" w:customStyle="1" w:styleId="TableBodyTextRight">
    <w:name w:val="Table Body Text Right"/>
    <w:basedOn w:val="TableBodyText"/>
    <w:rsid w:val="008873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337"/>
    <w:rPr>
      <w:sz w:val="18"/>
    </w:rPr>
  </w:style>
  <w:style w:type="paragraph" w:customStyle="1" w:styleId="BodySmallRight">
    <w:name w:val="Body Small Right"/>
    <w:basedOn w:val="BodyTextRight"/>
    <w:rsid w:val="00887337"/>
    <w:rPr>
      <w:sz w:val="18"/>
      <w:szCs w:val="18"/>
    </w:rPr>
  </w:style>
  <w:style w:type="paragraph" w:customStyle="1" w:styleId="MarginEdition">
    <w:name w:val="Margin Edition"/>
    <w:basedOn w:val="MarginNote"/>
    <w:rsid w:val="008873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337"/>
    <w:rPr>
      <w:sz w:val="2"/>
      <w:szCs w:val="2"/>
    </w:rPr>
  </w:style>
  <w:style w:type="character" w:customStyle="1" w:styleId="Small">
    <w:name w:val="Small"/>
    <w:basedOn w:val="DefaultParagraphFont"/>
    <w:rsid w:val="00887337"/>
    <w:rPr>
      <w:sz w:val="16"/>
    </w:rPr>
  </w:style>
  <w:style w:type="paragraph" w:customStyle="1" w:styleId="WideTable">
    <w:name w:val="Wide Table"/>
    <w:basedOn w:val="Normal"/>
    <w:rsid w:val="008873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337"/>
  </w:style>
  <w:style w:type="paragraph" w:styleId="Quote">
    <w:name w:val="Quote"/>
    <w:basedOn w:val="Heading1"/>
    <w:link w:val="QuoteChar"/>
    <w:qFormat/>
    <w:rsid w:val="008873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3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337"/>
    <w:pPr>
      <w:pageBreakBefore/>
    </w:pPr>
  </w:style>
  <w:style w:type="paragraph" w:customStyle="1" w:styleId="Border">
    <w:name w:val="Border"/>
    <w:basedOn w:val="Normal"/>
    <w:qFormat/>
    <w:rsid w:val="008873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3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3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3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3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3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3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3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3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337"/>
    <w:rPr>
      <w:u w:val="single"/>
    </w:rPr>
  </w:style>
  <w:style w:type="character" w:customStyle="1" w:styleId="BoldandItalics">
    <w:name w:val="Bold and Italics"/>
    <w:qFormat/>
    <w:rsid w:val="00887337"/>
    <w:rPr>
      <w:b/>
      <w:i/>
      <w:u w:val="none"/>
    </w:rPr>
  </w:style>
  <w:style w:type="paragraph" w:styleId="BalloonText">
    <w:name w:val="Balloon Text"/>
    <w:basedOn w:val="Normal"/>
    <w:link w:val="BalloonTextChar"/>
    <w:rsid w:val="00887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3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3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3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3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3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337"/>
    <w:pPr>
      <w:spacing w:before="0" w:after="0"/>
    </w:pPr>
  </w:style>
  <w:style w:type="paragraph" w:customStyle="1" w:styleId="BodyTextBold">
    <w:name w:val="Body Text Bold"/>
    <w:basedOn w:val="BodyText"/>
    <w:qFormat/>
    <w:rsid w:val="00887337"/>
    <w:rPr>
      <w:b/>
    </w:rPr>
  </w:style>
  <w:style w:type="character" w:styleId="Hyperlink">
    <w:name w:val="Hyperlink"/>
    <w:basedOn w:val="DefaultParagraphFont"/>
    <w:uiPriority w:val="99"/>
    <w:unhideWhenUsed/>
    <w:rsid w:val="00592E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3270</Characters>
  <Application>Microsoft Office Word</Application>
  <DocSecurity>0</DocSecurity>
  <Lines>93</Lines>
  <Paragraphs>77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CPCCWP3002 Apply waterproofing process to internal wet areas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