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25B" w:rsidP="000B725B">
      <w:pPr>
        <w:pStyle w:val="Title"/>
      </w:pPr>
      <w:r>
        <w:fldChar w:fldCharType="begin"/>
      </w:r>
      <w:r>
        <w:instrText xml:space="preserve"> TITLE   \* MERGEFORMAT </w:instrText>
      </w:r>
      <w:r>
        <w:fldChar w:fldCharType="separate"/>
      </w:r>
      <w:r>
        <w:t>CPCCWHS3001 Identify construction work hazards and select risk control strategies</w:t>
      </w:r>
      <w:r>
        <w:fldChar w:fldCharType="end"/>
      </w:r>
    </w:p>
    <w:p w:rsidR="000B725B" w:rsidP="000B725B">
      <w:pPr>
        <w:pStyle w:val="Version"/>
        <w:sectPr w:rsidSect="00403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733" w:rsidP="00403733">
      <w:pPr>
        <w:pStyle w:val="SuperHeading"/>
      </w:pPr>
      <w:r w:rsidRPr="00403733">
        <w:t>CPCCWHS3001 Identify construction work hazards and select risk control strategies</w:t>
      </w:r>
    </w:p>
    <w:p w:rsidR="00000000" w:rsidRPr="00403733" w:rsidP="00403733">
      <w:pPr>
        <w:pStyle w:val="Heading1"/>
      </w:pPr>
      <w:bookmarkStart w:id="1" w:name="O_831568"/>
      <w:bookmarkEnd w:id="1"/>
      <w:r w:rsidRPr="00403733">
        <w:t>Modification History</w:t>
      </w:r>
    </w:p>
    <w:p w:rsidR="00000000" w:rsidRPr="00403733" w:rsidP="000B725B">
      <w:pPr>
        <w:pStyle w:val="BodyText"/>
      </w:pPr>
      <w:r w:rsidRPr="00403733">
        <w:t>Release 1.</w:t>
      </w:r>
    </w:p>
    <w:p w:rsidR="00000000" w:rsidRPr="00403733" w:rsidP="000B725B">
      <w:pPr>
        <w:pStyle w:val="BodyText"/>
      </w:pPr>
      <w:r w:rsidRPr="00403733">
        <w:t>This version first released with CPC Construction, Plumbing and Services Training Package Version 2.</w:t>
      </w:r>
    </w:p>
    <w:p w:rsidR="00000000" w:rsidRPr="00403733" w:rsidP="000B725B">
      <w:pPr>
        <w:pStyle w:val="BodyText"/>
      </w:pPr>
      <w:r w:rsidRPr="00403733">
        <w:t>New unit of competency.</w:t>
      </w:r>
    </w:p>
    <w:p w:rsidR="00000000" w:rsidRPr="00403733" w:rsidP="00403733">
      <w:pPr>
        <w:pStyle w:val="Heading1"/>
      </w:pPr>
      <w:bookmarkStart w:id="2" w:name="O_831576"/>
      <w:bookmarkEnd w:id="2"/>
      <w:r w:rsidRPr="00403733">
        <w:t>Application</w:t>
      </w:r>
    </w:p>
    <w:p w:rsidR="00000000" w:rsidRPr="00403733" w:rsidP="000B725B">
      <w:pPr>
        <w:pStyle w:val="BodyText"/>
      </w:pPr>
      <w:r w:rsidRPr="00403733">
        <w:t xml:space="preserve">This unit of competency specifies the outcomes required to participate in preparing a job safety analysis (JSA) for general hazards, or a safe work method statement (SWMS) for high risk work hazards, on </w:t>
      </w:r>
      <w:r w:rsidRPr="00403733">
        <w:t xml:space="preserve">construction sites according to the level of responsibility of the work role as specified in work health and safety (WHS) legislation. </w:t>
      </w:r>
    </w:p>
    <w:p w:rsidR="00000000" w:rsidRPr="00403733" w:rsidP="000B725B">
      <w:pPr>
        <w:pStyle w:val="BodyText"/>
      </w:pPr>
      <w:r w:rsidRPr="00403733">
        <w:t>The unit supports construction workers undertaking work on a construction site alone or as part of a team to identify h</w:t>
      </w:r>
      <w:r w:rsidRPr="00403733">
        <w:t>azards and select risk control strategies. It applies to construction work on residential and commercial work sites in new construction, renovation or refurbishment, and maintenance projects.</w:t>
      </w:r>
    </w:p>
    <w:p w:rsidR="00000000" w:rsidRPr="00403733" w:rsidP="000B725B">
      <w:pPr>
        <w:pStyle w:val="BodyText"/>
      </w:pPr>
      <w:r w:rsidRPr="00403733">
        <w:t>No licensing, legislative, regulatory, or certification require</w:t>
      </w:r>
      <w:r w:rsidRPr="00403733">
        <w:t>ments apply to this unit of competency at the time of endorsement.</w:t>
      </w:r>
    </w:p>
    <w:p w:rsidR="00000000" w:rsidRPr="00403733" w:rsidP="00403733">
      <w:pPr>
        <w:pStyle w:val="Heading1"/>
      </w:pPr>
      <w:bookmarkStart w:id="3" w:name="O_831575"/>
      <w:bookmarkEnd w:id="3"/>
      <w:r w:rsidRPr="00403733">
        <w:t>Pre-requisite Unit</w:t>
      </w:r>
    </w:p>
    <w:p w:rsidR="00000000" w:rsidRPr="00403733" w:rsidP="000B725B">
      <w:pPr>
        <w:pStyle w:val="BodyText"/>
      </w:pPr>
      <w:r w:rsidRPr="00403733">
        <w:t>Nil</w:t>
      </w:r>
    </w:p>
    <w:p w:rsidR="00000000" w:rsidRPr="00403733" w:rsidP="00403733">
      <w:pPr>
        <w:pStyle w:val="Heading1"/>
      </w:pPr>
      <w:bookmarkStart w:id="4" w:name="O_831574"/>
      <w:bookmarkEnd w:id="4"/>
      <w:r w:rsidRPr="00403733">
        <w:t>Competency Field</w:t>
      </w:r>
    </w:p>
    <w:p w:rsidR="00000000" w:rsidRPr="00403733" w:rsidP="000B725B">
      <w:pPr>
        <w:pStyle w:val="BodyText"/>
      </w:pPr>
      <w:r w:rsidRPr="00403733">
        <w:t>Work health and safety</w:t>
      </w:r>
    </w:p>
    <w:p w:rsidR="00000000" w:rsidRPr="00403733" w:rsidP="00403733">
      <w:pPr>
        <w:pStyle w:val="Heading1"/>
      </w:pPr>
      <w:bookmarkStart w:id="5" w:name="O_831573"/>
      <w:bookmarkEnd w:id="5"/>
      <w:r w:rsidRPr="00403733">
        <w:t>Unit Sector</w:t>
      </w:r>
    </w:p>
    <w:p w:rsidR="00000000" w:rsidRPr="00403733" w:rsidP="000B725B">
      <w:pPr>
        <w:pStyle w:val="BodyText"/>
      </w:pPr>
      <w:r w:rsidRPr="00403733">
        <w:t>Construction</w:t>
      </w:r>
    </w:p>
    <w:p w:rsidR="00000000" w:rsidRPr="00403733" w:rsidP="00403733">
      <w:pPr>
        <w:pStyle w:val="Heading1"/>
      </w:pPr>
      <w:bookmarkStart w:id="6" w:name="O_831572"/>
      <w:bookmarkEnd w:id="6"/>
      <w:r w:rsidRPr="0040373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0373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Performance criteria describe the performance needed to demonstrate achievement of the element. Where bold italicised text is used, further information is detailed in the range of conditions.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1.</w:t>
            </w:r>
          </w:p>
        </w:tc>
        <w:tc>
          <w:tcPr>
            <w:tcW w:w="1962" w:type="dxa"/>
            <w:vMerge w:val="restart"/>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Identify general hazards and record them on JSA.</w:t>
            </w:r>
          </w:p>
        </w:tc>
        <w:tc>
          <w:tcPr>
            <w:tcW w:w="770" w:type="dxa"/>
            <w:tcBorders>
              <w:top w:val="nil"/>
              <w:left w:val="nil"/>
              <w:bottom w:val="nil"/>
              <w:right w:val="nil"/>
            </w:tcBorders>
            <w:tcMar>
              <w:top w:w="0" w:type="dxa"/>
              <w:left w:w="62" w:type="dxa"/>
              <w:bottom w:w="0" w:type="dxa"/>
              <w:right w:w="62" w:type="dxa"/>
            </w:tcMar>
          </w:tcPr>
          <w:p w:rsidR="00000000" w:rsidRPr="00403733" w:rsidP="00403733">
            <w:pPr>
              <w:pStyle w:val="BodyText"/>
            </w:pPr>
            <w:r w:rsidRPr="00403733">
              <w:t>1.1.</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rPr>
                <w:rStyle w:val="BoldandItalics"/>
              </w:rPr>
              <w:t>Job task</w:t>
            </w:r>
            <w:r w:rsidRPr="00403733">
              <w:t xml:space="preserve">, work site and </w:t>
            </w:r>
            <w:r w:rsidRPr="00403733">
              <w:rPr>
                <w:rStyle w:val="BoldandItalics"/>
              </w:rPr>
              <w:t>compliance requirements</w:t>
            </w:r>
            <w:r w:rsidRPr="00403733">
              <w:t xml:space="preserve"> are confirmed according to workplace procedures.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1.2.</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Work site is inspected, hazards relevant to job task are identified, and level of risk for each h</w:t>
            </w:r>
            <w:r w:rsidRPr="00403733">
              <w:t>azard is identified and noted.</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1.3.</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Job task is broken down into logical steps, and tools, equipment or plant, and materials to be used for each step are identified and recorded on JSA sheet.</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1.4.</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 xml:space="preserve">Potential </w:t>
            </w:r>
            <w:r w:rsidRPr="00403733">
              <w:rPr>
                <w:rStyle w:val="BoldandItalics"/>
              </w:rPr>
              <w:t>work site and task-related hazards</w:t>
            </w:r>
            <w:r w:rsidRPr="00403733">
              <w:t xml:space="preserve"> are identified for each step of the job task, and recorded on JSA sheet.</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 xml:space="preserve">2. </w:t>
            </w:r>
          </w:p>
        </w:tc>
        <w:tc>
          <w:tcPr>
            <w:tcW w:w="1962"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Complete and check JSA.</w:t>
            </w: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2.1</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Risk control strategies for each hazard in each step of the job task are identified according to the hierarchy of controls.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2.2</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Identified risk control strategies are discussed with relevant personnel, and those selected for implementation are recorded on JSA sheet.</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2.3</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Work site and job task are reviewed immediately before starting work and JSA is discussed with relevant person</w:t>
            </w:r>
            <w:r w:rsidRPr="00403733">
              <w:t>nel and confirmed as still applicable, or amended as required.</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2.4.</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JSA is securely stored on site according to compliance requirements.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3.</w:t>
            </w:r>
          </w:p>
        </w:tc>
        <w:tc>
          <w:tcPr>
            <w:tcW w:w="1962" w:type="dxa"/>
            <w:vMerge w:val="restart"/>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Identify high risk work hazards and record them on SWMS.</w:t>
            </w: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3.1.</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 xml:space="preserve">Work site conditions or job task requirements that categorise construction work as </w:t>
            </w:r>
            <w:r w:rsidRPr="00403733">
              <w:rPr>
                <w:rStyle w:val="BoldandItalics"/>
              </w:rPr>
              <w:t>high risk work</w:t>
            </w:r>
            <w:r w:rsidRPr="00403733">
              <w:t xml:space="preserve"> are determined.</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3.2.</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 xml:space="preserve">Job task, location and work methods are confirmed. </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3.3.</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 xml:space="preserve">Work site is inspected according to safety and compliance requirements, and high risk work hazards </w:t>
            </w:r>
            <w:r w:rsidRPr="00403733">
              <w:t>relevant to job task are identified and noted.</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3.4.</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Job task is broken down into logical steps, and tools, equipment or plant, and materials to be used fo</w:t>
            </w:r>
            <w:r w:rsidRPr="00403733">
              <w:t>r each step are identified and recorded on SWMS.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3.5.</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High risk work hazards are identified for each step of the job task, and recorded on SWMS.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 xml:space="preserve">4. </w:t>
            </w:r>
          </w:p>
        </w:tc>
        <w:tc>
          <w:tcPr>
            <w:tcW w:w="1962"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Complete and check SWMS.</w:t>
            </w: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4.1</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Risk control strategies for each hazard in each step of the job task are identified according to the hierarchy of controls.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4.2</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 xml:space="preserve">Identified risk control strategies are discussed with relevant personnel, and those selected for implementation are recorded </w:t>
            </w:r>
            <w:r w:rsidRPr="00403733">
              <w:t>on SWMS.</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4.3</w:t>
            </w:r>
          </w:p>
        </w:tc>
        <w:tc>
          <w:tcPr>
            <w:tcW w:w="561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Work site and job task are reviewed immediately before starting work and SWMS is discussed with relevant personnel and confirmed as still applicable, or amended as required.</w:t>
            </w:r>
          </w:p>
        </w:tc>
      </w:tr>
      <w:tr w:rsidTr="004037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4.4.</w:t>
            </w:r>
          </w:p>
        </w:tc>
        <w:tc>
          <w:tcPr>
            <w:tcW w:w="5610" w:type="dxa"/>
            <w:tcBorders>
              <w:top w:val="nil"/>
              <w:left w:val="nil"/>
              <w:bottom w:val="nil"/>
              <w:right w:val="nil"/>
            </w:tcBorders>
            <w:tcMar>
              <w:top w:w="0" w:type="dxa"/>
              <w:left w:w="62" w:type="dxa"/>
              <w:bottom w:w="0" w:type="dxa"/>
              <w:right w:w="62" w:type="dxa"/>
            </w:tcMar>
          </w:tcPr>
          <w:p w:rsidR="00000000" w:rsidRPr="00403733" w:rsidP="00403733">
            <w:pPr>
              <w:pStyle w:val="BodyText"/>
            </w:pPr>
            <w:r w:rsidRPr="00403733">
              <w:t>SWMS is securely stored on site according to compliance requirements.</w:t>
            </w:r>
          </w:p>
        </w:tc>
      </w:tr>
    </w:tbl>
    <w:p w:rsidR="00000000" w:rsidRPr="00403733" w:rsidP="00403733">
      <w:pPr>
        <w:pStyle w:val="BodyText"/>
      </w:pPr>
    </w:p>
    <w:p w:rsidR="00000000" w:rsidRPr="00403733" w:rsidP="00403733">
      <w:pPr>
        <w:pStyle w:val="AllowPageBreak"/>
      </w:pPr>
    </w:p>
    <w:p w:rsidR="00000000" w:rsidRPr="00403733" w:rsidP="00403733">
      <w:pPr>
        <w:pStyle w:val="Heading1"/>
      </w:pPr>
      <w:bookmarkStart w:id="7" w:name="O_831571"/>
      <w:bookmarkEnd w:id="7"/>
      <w:r w:rsidRPr="00403733">
        <w:t>Foundation Skills</w:t>
      </w:r>
    </w:p>
    <w:tbl>
      <w:tblPr>
        <w:tblW w:w="0" w:type="auto"/>
        <w:tblLayout w:type="fixed"/>
        <w:tblCellMar>
          <w:left w:w="62" w:type="dxa"/>
          <w:right w:w="62" w:type="dxa"/>
        </w:tblCellMar>
        <w:tblLook w:val="0000"/>
      </w:tblPr>
      <w:tblGrid>
        <w:gridCol w:w="2760"/>
        <w:gridCol w:w="6312"/>
      </w:tblGrid>
      <w:tr w:rsidTr="004037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This section describes the language, literacy, numeracy and employment skills essential to performance in this unit but not explicit in the performan</w:t>
            </w:r>
            <w:r w:rsidRPr="00403733">
              <w:t>ce criteria.</w:t>
            </w:r>
          </w:p>
        </w:tc>
      </w:tr>
      <w:tr w:rsidTr="004037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03733" w:rsidP="00403733">
            <w:pPr>
              <w:pStyle w:val="BodyText"/>
            </w:pPr>
            <w:r w:rsidRPr="00403733">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rPr>
                <w:rStyle w:val="SpecialBold"/>
              </w:rPr>
              <w:t>Performance feature</w:t>
            </w:r>
          </w:p>
        </w:tc>
      </w:tr>
      <w:tr w:rsidTr="004037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Learning skills to:</w:t>
            </w:r>
          </w:p>
        </w:tc>
        <w:tc>
          <w:tcPr>
            <w:tcW w:w="6312"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 xml:space="preserve">apply previous knowledge of effective risk control strategies to select strategies for different job tasks and new work sites </w:t>
            </w:r>
          </w:p>
          <w:p w:rsidR="00000000" w:rsidRPr="00403733" w:rsidP="00403733">
            <w:pPr>
              <w:pStyle w:val="ListBullet"/>
            </w:pPr>
            <w:r w:rsidRPr="00403733">
              <w:t>search the internet to identify relevant compliance requirements for job tasks.</w:t>
            </w:r>
          </w:p>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Numeracy skills to:</w:t>
            </w:r>
          </w:p>
        </w:tc>
        <w:tc>
          <w:tcPr>
            <w:tcW w:w="6312"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interpret numerical information in compliance documentation.</w:t>
            </w:r>
          </w:p>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discuss risk control strategies with other site staff using</w:t>
            </w:r>
            <w:r w:rsidRPr="00403733">
              <w:t xml:space="preserve"> appropriate construction terminology and questioning skills to clarify suitable risk control strategies.</w:t>
            </w:r>
          </w:p>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Reading skills to:</w:t>
            </w:r>
          </w:p>
        </w:tc>
        <w:tc>
          <w:tcPr>
            <w:tcW w:w="6312"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interpret information in compliance documentation and apply to the preparation and documentation of JSA and SWMS.</w:t>
            </w:r>
          </w:p>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Writing skills to:</w:t>
            </w:r>
          </w:p>
        </w:tc>
        <w:tc>
          <w:tcPr>
            <w:tcW w:w="6312"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complete and present all documentation according to industry standard: legible, coherent, precise and concise.</w:t>
            </w:r>
          </w:p>
          <w:p w:rsidR="00000000" w:rsidRPr="00403733" w:rsidP="00403733">
            <w:pPr>
              <w:pStyle w:val="BodyText"/>
            </w:pPr>
          </w:p>
        </w:tc>
      </w:tr>
    </w:tbl>
    <w:p w:rsidR="00000000" w:rsidRPr="00403733" w:rsidP="00403733">
      <w:pPr>
        <w:pStyle w:val="BodyText"/>
      </w:pPr>
    </w:p>
    <w:p w:rsidR="00000000" w:rsidRPr="00403733" w:rsidP="00403733">
      <w:pPr>
        <w:pStyle w:val="AllowPageBreak"/>
      </w:pPr>
    </w:p>
    <w:p w:rsidR="00000000" w:rsidRPr="00403733" w:rsidP="00403733">
      <w:pPr>
        <w:pStyle w:val="Heading1"/>
      </w:pPr>
      <w:bookmarkStart w:id="8" w:name="O_831570"/>
      <w:bookmarkEnd w:id="8"/>
      <w:r w:rsidRPr="00403733">
        <w:t>Range of Conditions</w:t>
      </w:r>
    </w:p>
    <w:tbl>
      <w:tblPr>
        <w:tblW w:w="0" w:type="auto"/>
        <w:tblLayout w:type="fixed"/>
        <w:tblCellMar>
          <w:left w:w="62" w:type="dxa"/>
          <w:right w:w="62" w:type="dxa"/>
        </w:tblCellMar>
        <w:tblLook w:val="0000"/>
      </w:tblPr>
      <w:tblGrid>
        <w:gridCol w:w="2364"/>
        <w:gridCol w:w="6708"/>
      </w:tblGrid>
      <w:tr w:rsidTr="004037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t>This section specifies work environments and conditions that may affect performance. Essential operating conditions that may be present (depending on the work situation, needs of the candidate, accessibility of the item, and local industry and regional con</w:t>
            </w:r>
            <w:r w:rsidRPr="00403733">
              <w:t>texts) are included. Bold italicised wording, if used in the performance criteria, is detailed below.</w:t>
            </w:r>
          </w:p>
        </w:tc>
      </w:tr>
      <w:tr w:rsidTr="0040373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rPr>
                <w:rStyle w:val="BoldandItalics"/>
              </w:rPr>
              <w:t>Job task</w:t>
            </w:r>
            <w:r w:rsidRPr="0040373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general on-site construction, installation, fitout, or non-structural demolition task</w:t>
            </w:r>
          </w:p>
          <w:p w:rsidR="00000000" w:rsidRPr="00403733" w:rsidP="00403733">
            <w:pPr>
              <w:pStyle w:val="ListBullet"/>
            </w:pPr>
            <w:r w:rsidRPr="00403733">
              <w:t xml:space="preserve">use of construction hand and power </w:t>
            </w:r>
            <w:r w:rsidRPr="00403733">
              <w:t>tools, and equipment or plant.</w:t>
            </w:r>
          </w:p>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rPr>
                <w:rStyle w:val="BoldandItalics"/>
              </w:rPr>
              <w:t>Compliance requirements</w:t>
            </w:r>
            <w:r w:rsidRPr="00403733">
              <w:t xml:space="preserve"> that relate to the job tasks must include:</w:t>
            </w:r>
          </w:p>
        </w:tc>
        <w:tc>
          <w:tcPr>
            <w:tcW w:w="6708"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Australian standards, industry guidelines, industry advisory standards, National Construction Code requirements, and codes of practice, including Safe Work</w:t>
            </w:r>
            <w:r w:rsidRPr="00403733">
              <w:t xml:space="preserve"> Australia Model Code of Practice – Construction Work</w:t>
            </w:r>
          </w:p>
          <w:p w:rsidR="00000000" w:rsidRPr="00403733" w:rsidP="00403733">
            <w:pPr>
              <w:pStyle w:val="ListBullet"/>
            </w:pPr>
            <w:r w:rsidRPr="00403733">
              <w:t>commonwealth, state and territory legislation and local government regulations</w:t>
            </w:r>
          </w:p>
          <w:p w:rsidR="00000000" w:rsidRPr="00403733" w:rsidP="00403733">
            <w:pPr>
              <w:pStyle w:val="ListBullet"/>
            </w:pPr>
            <w:r w:rsidRPr="00403733">
              <w:t>environmental requirements</w:t>
            </w:r>
          </w:p>
          <w:p w:rsidR="00000000" w:rsidRPr="00403733" w:rsidP="00403733">
            <w:pPr>
              <w:pStyle w:val="ListBullet"/>
            </w:pPr>
            <w:r w:rsidRPr="00403733">
              <w:t xml:space="preserve">public health and safety requirements </w:t>
            </w:r>
          </w:p>
          <w:p w:rsidR="00000000" w:rsidRPr="00403733" w:rsidP="00403733">
            <w:pPr>
              <w:pStyle w:val="ListBullet"/>
            </w:pPr>
            <w:r w:rsidRPr="00403733">
              <w:t>WHS requirements, including safe operating procedures.</w:t>
            </w:r>
          </w:p>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rPr>
                <w:rStyle w:val="BoldandItalics"/>
              </w:rPr>
              <w:t xml:space="preserve">Work site and task-related hazards </w:t>
            </w:r>
            <w:r w:rsidRPr="00403733">
              <w:t>must include consideration of:</w:t>
            </w:r>
          </w:p>
        </w:tc>
        <w:tc>
          <w:tcPr>
            <w:tcW w:w="6708"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common causes of incidents on construction sites</w:t>
            </w:r>
          </w:p>
          <w:p w:rsidR="00000000" w:rsidRPr="00403733" w:rsidP="00403733">
            <w:pPr>
              <w:pStyle w:val="ListBullet"/>
            </w:pPr>
            <w:r w:rsidRPr="00403733">
              <w:t>manufacturer instructions for equipment</w:t>
            </w:r>
          </w:p>
          <w:p w:rsidR="00000000" w:rsidRPr="00403733" w:rsidP="00403733">
            <w:pPr>
              <w:pStyle w:val="ListBullet"/>
            </w:pPr>
            <w:r w:rsidRPr="00403733">
              <w:t>other work going on near the work area</w:t>
            </w:r>
          </w:p>
          <w:p w:rsidR="00000000" w:rsidRPr="00403733" w:rsidP="00403733">
            <w:pPr>
              <w:pStyle w:val="ListBullet"/>
            </w:pPr>
            <w:r w:rsidRPr="00403733">
              <w:t>safety data sheets (SDS).</w:t>
            </w:r>
          </w:p>
          <w:p w:rsidR="00000000" w:rsidP="00403733">
            <w:pPr>
              <w:pStyle w:val="BodyText"/>
              <w:rPr>
                <w:lang w:val="en-NZ"/>
              </w:rPr>
            </w:pPr>
          </w:p>
        </w:tc>
      </w:tr>
      <w:tr w:rsidTr="0040373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03733">
            <w:pPr>
              <w:pStyle w:val="BodyText"/>
              <w:rPr>
                <w:lang w:val="en-NZ"/>
              </w:rPr>
            </w:pPr>
            <w:r w:rsidRPr="00403733">
              <w:rPr>
                <w:rStyle w:val="BoldandItalics"/>
              </w:rPr>
              <w:t>High risk work</w:t>
            </w:r>
            <w:r w:rsidRPr="00403733">
              <w:t xml:space="preserve"> must include two o</w:t>
            </w:r>
            <w:r w:rsidRPr="00403733">
              <w:t>f the following risks:</w:t>
            </w:r>
          </w:p>
        </w:tc>
        <w:tc>
          <w:tcPr>
            <w:tcW w:w="6708" w:type="dxa"/>
            <w:tcBorders>
              <w:top w:val="nil"/>
              <w:left w:val="nil"/>
              <w:bottom w:val="nil"/>
              <w:right w:val="nil"/>
            </w:tcBorders>
            <w:tcMar>
              <w:top w:w="0" w:type="dxa"/>
              <w:left w:w="62" w:type="dxa"/>
              <w:bottom w:w="0" w:type="dxa"/>
              <w:right w:w="62" w:type="dxa"/>
            </w:tcMar>
          </w:tcPr>
          <w:p w:rsidR="00000000" w:rsidRPr="00403733" w:rsidP="00403733">
            <w:pPr>
              <w:pStyle w:val="ListBullet"/>
            </w:pPr>
            <w:r w:rsidRPr="00403733">
              <w:t>demolition of load-bearing structures</w:t>
            </w:r>
          </w:p>
          <w:p w:rsidR="00000000" w:rsidRPr="00403733" w:rsidP="00403733">
            <w:pPr>
              <w:pStyle w:val="ListBullet"/>
            </w:pPr>
            <w:r w:rsidRPr="00403733">
              <w:t>diving work</w:t>
            </w:r>
          </w:p>
          <w:p w:rsidR="00000000" w:rsidRPr="00403733" w:rsidP="00403733">
            <w:pPr>
              <w:pStyle w:val="ListBullet"/>
            </w:pPr>
            <w:r w:rsidRPr="00403733">
              <w:t>energised electrical installations or services</w:t>
            </w:r>
          </w:p>
          <w:p w:rsidR="00000000" w:rsidRPr="00403733" w:rsidP="00403733">
            <w:pPr>
              <w:pStyle w:val="ListBullet"/>
            </w:pPr>
            <w:r w:rsidRPr="00403733">
              <w:t>falling more than two metres</w:t>
            </w:r>
          </w:p>
          <w:p w:rsidR="00000000" w:rsidRPr="00403733" w:rsidP="00403733">
            <w:pPr>
              <w:pStyle w:val="ListBullet"/>
            </w:pPr>
            <w:r w:rsidRPr="00403733">
              <w:t xml:space="preserve">installation of tilt-up or precast concrete elements </w:t>
            </w:r>
          </w:p>
          <w:p w:rsidR="00000000" w:rsidRPr="00403733" w:rsidP="00403733">
            <w:pPr>
              <w:pStyle w:val="ListBullet"/>
            </w:pPr>
            <w:r w:rsidRPr="00403733">
              <w:t>tasks where disturbance of asbestos is possible</w:t>
            </w:r>
          </w:p>
          <w:p w:rsidR="00000000" w:rsidRPr="00403733" w:rsidP="00403733">
            <w:pPr>
              <w:pStyle w:val="ListBullet"/>
            </w:pPr>
            <w:r w:rsidRPr="00403733">
              <w:t>use of explosives</w:t>
            </w:r>
          </w:p>
          <w:p w:rsidR="00000000" w:rsidRPr="00403733" w:rsidP="00403733">
            <w:pPr>
              <w:pStyle w:val="ListBullet"/>
            </w:pPr>
            <w:r w:rsidRPr="00403733">
              <w:t>work in areas with potential contaminated or flammable atmospheres</w:t>
            </w:r>
          </w:p>
          <w:p w:rsidR="00000000" w:rsidRPr="00403733" w:rsidP="00403733">
            <w:pPr>
              <w:pStyle w:val="ListBullet"/>
            </w:pPr>
            <w:r w:rsidRPr="00403733">
              <w:t>work in areas with artificial extremes of temperatures</w:t>
            </w:r>
          </w:p>
          <w:p w:rsidR="00000000" w:rsidRPr="00403733" w:rsidP="00403733">
            <w:pPr>
              <w:pStyle w:val="ListBullet"/>
            </w:pPr>
            <w:r w:rsidRPr="00403733">
              <w:t>work in or near confined spaces</w:t>
            </w:r>
          </w:p>
          <w:p w:rsidR="00000000" w:rsidRPr="00403733" w:rsidP="00403733">
            <w:pPr>
              <w:pStyle w:val="ListBullet"/>
            </w:pPr>
            <w:r w:rsidRPr="00403733">
              <w:t>work in or near tunnels, shafts or trenches deeper than 1.5 metres</w:t>
            </w:r>
          </w:p>
          <w:p w:rsidR="00000000" w:rsidRPr="00403733" w:rsidP="00403733">
            <w:pPr>
              <w:pStyle w:val="ListBullet"/>
            </w:pPr>
            <w:r w:rsidRPr="00403733">
              <w:t>work in or near w</w:t>
            </w:r>
            <w:r w:rsidRPr="00403733">
              <w:t>ater or other liquids that involves a risk of drowning</w:t>
            </w:r>
          </w:p>
          <w:p w:rsidR="00000000" w:rsidRPr="00403733" w:rsidP="00403733">
            <w:pPr>
              <w:pStyle w:val="ListBullet"/>
            </w:pPr>
            <w:r w:rsidRPr="00403733">
              <w:t>work on telecommunications towers</w:t>
            </w:r>
          </w:p>
          <w:p w:rsidR="00000000" w:rsidRPr="00403733" w:rsidP="00403733">
            <w:pPr>
              <w:pStyle w:val="ListBullet"/>
            </w:pPr>
            <w:r w:rsidRPr="00403733">
              <w:t xml:space="preserve">work on, in or adjacent to roads, railways, shipping lanes or other traffic corridors in use by traffic other than pedestrians </w:t>
            </w:r>
          </w:p>
          <w:p w:rsidR="00000000" w:rsidRPr="00403733" w:rsidP="00403733">
            <w:pPr>
              <w:pStyle w:val="ListBullet"/>
            </w:pPr>
            <w:r w:rsidRPr="00403733">
              <w:t>work in or near one of the following:</w:t>
            </w:r>
          </w:p>
          <w:p w:rsidR="00000000" w:rsidRPr="00403733" w:rsidP="00403733">
            <w:pPr>
              <w:pStyle w:val="ListBullet2"/>
            </w:pPr>
            <w:r w:rsidRPr="00403733">
              <w:t>pressurised gas distribution mains or piping</w:t>
            </w:r>
          </w:p>
          <w:p w:rsidR="00000000" w:rsidRPr="00403733" w:rsidP="00403733">
            <w:pPr>
              <w:pStyle w:val="ListBullet2"/>
            </w:pPr>
            <w:r w:rsidRPr="00403733">
              <w:t>chemical, fuel or refrigerant lines.</w:t>
            </w:r>
          </w:p>
          <w:p w:rsidR="00000000" w:rsidRPr="00403733" w:rsidP="00403733">
            <w:pPr>
              <w:pStyle w:val="BodyText"/>
            </w:pPr>
          </w:p>
        </w:tc>
      </w:tr>
    </w:tbl>
    <w:p w:rsidR="00000000" w:rsidRPr="00403733" w:rsidP="00403733">
      <w:pPr>
        <w:pStyle w:val="BodyText"/>
      </w:pPr>
    </w:p>
    <w:p w:rsidR="00000000" w:rsidRPr="00403733" w:rsidP="00403733">
      <w:pPr>
        <w:pStyle w:val="AllowPageBreak"/>
      </w:pPr>
    </w:p>
    <w:p w:rsidR="00000000" w:rsidRPr="00403733" w:rsidP="00403733">
      <w:pPr>
        <w:pStyle w:val="Heading1"/>
      </w:pPr>
      <w:bookmarkStart w:id="9" w:name="O_831569"/>
      <w:bookmarkEnd w:id="9"/>
      <w:r w:rsidRPr="00403733">
        <w:t>Unit Mapping Information</w:t>
      </w:r>
    </w:p>
    <w:p w:rsidR="00000000" w:rsidRPr="00403733" w:rsidP="000B725B">
      <w:pPr>
        <w:pStyle w:val="BodyText"/>
      </w:pPr>
      <w:r w:rsidRPr="00403733">
        <w:t>No equivalent unit.</w:t>
      </w:r>
    </w:p>
    <w:p w:rsidR="00000000" w:rsidRPr="00403733" w:rsidP="00403733">
      <w:pPr>
        <w:pStyle w:val="Heading1"/>
      </w:pPr>
      <w:bookmarkStart w:id="10" w:name="O_831562"/>
      <w:bookmarkEnd w:id="10"/>
      <w:r w:rsidRPr="00403733">
        <w:t>Links</w:t>
      </w:r>
    </w:p>
    <w:p w:rsidR="00000000" w:rsidRPr="00403733" w:rsidP="000B725B">
      <w:pPr>
        <w:pStyle w:val="BodyText"/>
      </w:pPr>
      <w:r w:rsidRPr="00403733">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7F532A">
        <w:rPr>
          <w:rStyle w:val="Hyperlink"/>
        </w:rPr>
        <w:t>https://vetnet.education.gov.au/Pages/TrainingDocs.aspx?q=7e15fa6a-68b8-4097-b099-030a5569b1ad</w:t>
      </w:r>
      <w:r>
        <w:fldChar w:fldCharType="end"/>
      </w:r>
    </w:p>
    <w:p w:rsidR="00000000" w:rsidRPr="00403733" w:rsidP="00403733"/>
    <w:sectPr w:rsidSect="00403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33" w:rsidRPr="000B725B" w:rsidP="000B7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5B" w:rsidP="00403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725B" w:rsidP="0040373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0B725B" w:rsidP="00403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733" w:rsidRPr="000B725B" w:rsidP="000B7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5B" w:rsidRPr="002D2AF8" w:rsidP="00403733">
    <w:pPr>
      <w:pStyle w:val="Header"/>
      <w:framePr w:wrap="around"/>
    </w:pPr>
    <w:r>
      <w:fldChar w:fldCharType="begin"/>
    </w:r>
    <w:r>
      <w:instrText xml:space="preserve"> TITLE   \* MERGEFORMAT </w:instrText>
    </w:r>
    <w:r>
      <w:fldChar w:fldCharType="separate"/>
    </w:r>
    <w:r>
      <w:t>CPCCWHS3001 Identify construction work hazards and select risk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0B725B" w:rsidP="00403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28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AE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E3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733"/>
    <w:pPr>
      <w:spacing w:before="360" w:after="60"/>
      <w:outlineLvl w:val="0"/>
    </w:pPr>
    <w:rPr>
      <w:sz w:val="32"/>
    </w:rPr>
  </w:style>
  <w:style w:type="paragraph" w:styleId="Heading2">
    <w:name w:val="heading 2"/>
    <w:basedOn w:val="HeadingBase"/>
    <w:next w:val="BodyText"/>
    <w:link w:val="Heading2Char"/>
    <w:qFormat/>
    <w:rsid w:val="00403733"/>
    <w:pPr>
      <w:keepLines/>
      <w:spacing w:before="240" w:after="120"/>
      <w:outlineLvl w:val="1"/>
    </w:pPr>
    <w:rPr>
      <w:sz w:val="28"/>
      <w:szCs w:val="40"/>
    </w:rPr>
  </w:style>
  <w:style w:type="paragraph" w:styleId="Heading3">
    <w:name w:val="heading 3"/>
    <w:basedOn w:val="HeadingBase"/>
    <w:next w:val="BodyText"/>
    <w:link w:val="Heading3Char"/>
    <w:qFormat/>
    <w:rsid w:val="00403733"/>
    <w:pPr>
      <w:spacing w:before="180" w:after="120"/>
      <w:outlineLvl w:val="2"/>
    </w:pPr>
    <w:rPr>
      <w:spacing w:val="-10"/>
      <w:kern w:val="32"/>
    </w:rPr>
  </w:style>
  <w:style w:type="paragraph" w:styleId="Heading4">
    <w:name w:val="heading 4"/>
    <w:basedOn w:val="HeadingBase"/>
    <w:next w:val="BodyText"/>
    <w:link w:val="Heading4Char"/>
    <w:qFormat/>
    <w:rsid w:val="00403733"/>
    <w:pPr>
      <w:spacing w:before="160" w:after="120"/>
      <w:outlineLvl w:val="3"/>
    </w:pPr>
    <w:rPr>
      <w:sz w:val="22"/>
    </w:rPr>
  </w:style>
  <w:style w:type="paragraph" w:styleId="Heading5">
    <w:name w:val="heading 5"/>
    <w:basedOn w:val="HeadingBase"/>
    <w:next w:val="Normal"/>
    <w:link w:val="Heading5Char"/>
    <w:qFormat/>
    <w:rsid w:val="00403733"/>
    <w:pPr>
      <w:spacing w:before="80"/>
      <w:outlineLvl w:val="4"/>
    </w:pPr>
    <w:rPr>
      <w:color w:val="918585"/>
      <w:sz w:val="20"/>
    </w:rPr>
  </w:style>
  <w:style w:type="paragraph" w:styleId="Heading6">
    <w:name w:val="heading 6"/>
    <w:basedOn w:val="HeadingBase"/>
    <w:next w:val="Normal"/>
    <w:link w:val="Heading6Char"/>
    <w:qFormat/>
    <w:rsid w:val="00403733"/>
    <w:pPr>
      <w:spacing w:before="60"/>
      <w:outlineLvl w:val="5"/>
    </w:pPr>
    <w:rPr>
      <w:color w:val="918585"/>
      <w:sz w:val="20"/>
    </w:rPr>
  </w:style>
  <w:style w:type="paragraph" w:styleId="Heading7">
    <w:name w:val="heading 7"/>
    <w:basedOn w:val="Normal"/>
    <w:next w:val="Normal"/>
    <w:link w:val="Heading7Char"/>
    <w:qFormat/>
    <w:rsid w:val="00403733"/>
    <w:pPr>
      <w:ind w:left="720"/>
      <w:outlineLvl w:val="6"/>
    </w:pPr>
    <w:rPr>
      <w:i/>
    </w:rPr>
  </w:style>
  <w:style w:type="paragraph" w:styleId="Heading8">
    <w:name w:val="heading 8"/>
    <w:basedOn w:val="Normal"/>
    <w:next w:val="Normal"/>
    <w:link w:val="Heading8Char"/>
    <w:qFormat/>
    <w:rsid w:val="00403733"/>
    <w:pPr>
      <w:ind w:left="720"/>
      <w:outlineLvl w:val="7"/>
    </w:pPr>
    <w:rPr>
      <w:i/>
    </w:rPr>
  </w:style>
  <w:style w:type="paragraph" w:styleId="Heading9">
    <w:name w:val="heading 9"/>
    <w:basedOn w:val="Normal"/>
    <w:next w:val="Normal"/>
    <w:link w:val="Heading9Char"/>
    <w:qFormat/>
    <w:rsid w:val="00403733"/>
    <w:pPr>
      <w:ind w:left="720"/>
      <w:outlineLvl w:val="8"/>
    </w:pPr>
    <w:rPr>
      <w:i/>
    </w:rPr>
  </w:style>
  <w:style w:type="character" w:default="1" w:styleId="DefaultParagraphFont">
    <w:name w:val="Default Paragraph Font"/>
    <w:uiPriority w:val="1"/>
    <w:unhideWhenUsed/>
    <w:rsid w:val="00403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733"/>
  </w:style>
  <w:style w:type="character" w:customStyle="1" w:styleId="Heading1Char">
    <w:name w:val="Heading 1 Char"/>
    <w:basedOn w:val="DefaultParagraphFont"/>
    <w:link w:val="Heading1"/>
    <w:rsid w:val="00403733"/>
    <w:rPr>
      <w:rFonts w:ascii="Times New Roman" w:eastAsia="Times New Roman" w:hAnsi="Times New Roman" w:cs="Times New Roman"/>
      <w:b/>
      <w:sz w:val="32"/>
      <w:szCs w:val="20"/>
      <w:lang w:eastAsia="en-US"/>
    </w:rPr>
  </w:style>
  <w:style w:type="paragraph" w:styleId="BodyText">
    <w:name w:val="Body Text"/>
    <w:basedOn w:val="Normal"/>
    <w:link w:val="BodyTextChar"/>
    <w:rsid w:val="00403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733"/>
    <w:rPr>
      <w:rFonts w:ascii="Times New Roman" w:eastAsia="Times New Roman" w:hAnsi="Times New Roman" w:cs="Times New Roman"/>
      <w:sz w:val="24"/>
      <w:lang w:eastAsia="en-US"/>
    </w:rPr>
  </w:style>
  <w:style w:type="paragraph" w:styleId="ListBullet">
    <w:name w:val="List Bullet"/>
    <w:basedOn w:val="List"/>
    <w:rsid w:val="00403733"/>
    <w:pPr>
      <w:numPr>
        <w:numId w:val="13"/>
      </w:numPr>
      <w:tabs>
        <w:tab w:val="clear" w:pos="340"/>
      </w:tabs>
      <w:spacing w:before="40" w:after="40"/>
    </w:pPr>
  </w:style>
  <w:style w:type="character" w:customStyle="1" w:styleId="SpecialBold">
    <w:name w:val="Special Bold"/>
    <w:basedOn w:val="DefaultParagraphFont"/>
    <w:rsid w:val="00403733"/>
    <w:rPr>
      <w:b/>
      <w:spacing w:val="0"/>
    </w:rPr>
  </w:style>
  <w:style w:type="paragraph" w:styleId="ListBullet2">
    <w:name w:val="List Bullet 2"/>
    <w:basedOn w:val="List2"/>
    <w:rsid w:val="00403733"/>
    <w:pPr>
      <w:numPr>
        <w:numId w:val="14"/>
      </w:numPr>
      <w:tabs>
        <w:tab w:val="clear" w:pos="680"/>
      </w:tabs>
    </w:pPr>
  </w:style>
  <w:style w:type="paragraph" w:customStyle="1" w:styleId="SuperHeading">
    <w:name w:val="SuperHeading"/>
    <w:basedOn w:val="Normal"/>
    <w:rsid w:val="00403733"/>
    <w:pPr>
      <w:spacing w:before="240" w:after="120"/>
      <w:outlineLvl w:val="0"/>
    </w:pPr>
    <w:rPr>
      <w:rFonts w:ascii="Times New Roman" w:hAnsi="Times New Roman"/>
      <w:b/>
      <w:sz w:val="32"/>
    </w:rPr>
  </w:style>
  <w:style w:type="paragraph" w:customStyle="1" w:styleId="AllowPageBreak">
    <w:name w:val="AllowPageBreak"/>
    <w:rsid w:val="00403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3733"/>
    <w:rPr>
      <w:b/>
      <w:i/>
      <w:u w:val="none"/>
    </w:rPr>
  </w:style>
  <w:style w:type="character" w:customStyle="1" w:styleId="Heading2Char">
    <w:name w:val="Heading 2 Char"/>
    <w:basedOn w:val="DefaultParagraphFont"/>
    <w:link w:val="Heading2"/>
    <w:rsid w:val="00403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733"/>
    <w:rPr>
      <w:rFonts w:ascii="Courier New" w:eastAsia="Times New Roman" w:hAnsi="Courier New" w:cs="Times New Roman"/>
      <w:i/>
      <w:szCs w:val="20"/>
      <w:lang w:eastAsia="en-US"/>
    </w:rPr>
  </w:style>
  <w:style w:type="paragraph" w:customStyle="1" w:styleId="HeadingBase">
    <w:name w:val="Heading Base"/>
    <w:rsid w:val="00403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733"/>
    <w:pPr>
      <w:tabs>
        <w:tab w:val="right" w:leader="dot" w:pos="9072"/>
      </w:tabs>
      <w:ind w:left="567"/>
    </w:pPr>
    <w:rPr>
      <w:szCs w:val="22"/>
    </w:rPr>
  </w:style>
  <w:style w:type="paragraph" w:customStyle="1" w:styleId="TOCBase">
    <w:name w:val="TOC Base"/>
    <w:rsid w:val="00403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733"/>
    <w:pPr>
      <w:tabs>
        <w:tab w:val="right" w:leader="dot" w:pos="9072"/>
      </w:tabs>
      <w:spacing w:before="40" w:after="40"/>
      <w:ind w:left="284"/>
    </w:pPr>
    <w:rPr>
      <w:rFonts w:ascii="Times New Roman" w:hAnsi="Times New Roman"/>
    </w:rPr>
  </w:style>
  <w:style w:type="paragraph" w:styleId="TOC1">
    <w:name w:val="toc 1"/>
    <w:basedOn w:val="TOCBase"/>
    <w:next w:val="Normal"/>
    <w:rsid w:val="00403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733"/>
    <w:rPr>
      <w:rFonts w:ascii="Times New Roman" w:eastAsia="Times New Roman" w:hAnsi="Times New Roman" w:cs="Times New Roman"/>
      <w:sz w:val="16"/>
      <w:lang w:eastAsia="en-US"/>
    </w:rPr>
  </w:style>
  <w:style w:type="paragraph" w:styleId="Title">
    <w:name w:val="Title"/>
    <w:basedOn w:val="HeadingBase"/>
    <w:link w:val="TitleChar"/>
    <w:qFormat/>
    <w:rsid w:val="00403733"/>
    <w:pPr>
      <w:spacing w:before="5040"/>
      <w:jc w:val="center"/>
    </w:pPr>
    <w:rPr>
      <w:sz w:val="48"/>
      <w:szCs w:val="72"/>
      <w:lang w:val="en-US"/>
    </w:rPr>
  </w:style>
  <w:style w:type="character" w:customStyle="1" w:styleId="TitleChar">
    <w:name w:val="Title Char"/>
    <w:basedOn w:val="DefaultParagraphFont"/>
    <w:link w:val="Title"/>
    <w:rsid w:val="00403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733"/>
    <w:pPr>
      <w:tabs>
        <w:tab w:val="left" w:pos="3600"/>
        <w:tab w:val="left" w:pos="3958"/>
      </w:tabs>
    </w:pPr>
  </w:style>
  <w:style w:type="paragraph" w:styleId="List">
    <w:name w:val="List"/>
    <w:basedOn w:val="BodyText"/>
    <w:next w:val="BodyText"/>
    <w:rsid w:val="00403733"/>
    <w:pPr>
      <w:tabs>
        <w:tab w:val="left" w:pos="340"/>
      </w:tabs>
      <w:spacing w:before="60" w:after="60"/>
      <w:ind w:left="340" w:hanging="340"/>
    </w:pPr>
  </w:style>
  <w:style w:type="paragraph" w:customStyle="1" w:styleId="Note">
    <w:name w:val="Note"/>
    <w:basedOn w:val="BodyText"/>
    <w:rsid w:val="00403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733"/>
    <w:pPr>
      <w:framePr w:wrap="auto" w:hAnchor="text" w:y="6049"/>
    </w:pPr>
    <w:rPr>
      <w:color w:val="000000"/>
      <w:sz w:val="40"/>
    </w:rPr>
  </w:style>
  <w:style w:type="paragraph" w:customStyle="1" w:styleId="TOCTitle">
    <w:name w:val="TOCTitle"/>
    <w:basedOn w:val="Heading1"/>
    <w:rsid w:val="00403733"/>
    <w:pPr>
      <w:spacing w:after="240"/>
      <w:jc w:val="center"/>
      <w:outlineLvl w:val="9"/>
    </w:pPr>
    <w:rPr>
      <w:caps/>
    </w:rPr>
  </w:style>
  <w:style w:type="paragraph" w:customStyle="1" w:styleId="Version">
    <w:name w:val="Version"/>
    <w:rsid w:val="00403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733"/>
    <w:pPr>
      <w:keepNext w:val="0"/>
      <w:tabs>
        <w:tab w:val="right" w:pos="4176"/>
      </w:tabs>
      <w:ind w:left="198" w:hanging="198"/>
    </w:pPr>
    <w:rPr>
      <w:rFonts w:ascii="Garamond" w:hAnsi="Garamond"/>
    </w:rPr>
  </w:style>
  <w:style w:type="paragraph" w:styleId="IndexHeading">
    <w:name w:val="index heading"/>
    <w:basedOn w:val="Normal"/>
    <w:next w:val="Index1"/>
    <w:semiHidden/>
    <w:rsid w:val="00403733"/>
    <w:pPr>
      <w:spacing w:before="120" w:after="120"/>
    </w:pPr>
    <w:rPr>
      <w:rFonts w:ascii="Arial" w:hAnsi="Arial"/>
      <w:b/>
      <w:color w:val="918585"/>
      <w:sz w:val="24"/>
    </w:rPr>
  </w:style>
  <w:style w:type="paragraph" w:styleId="Header">
    <w:name w:val="header"/>
    <w:basedOn w:val="Normal"/>
    <w:link w:val="HeaderChar"/>
    <w:rsid w:val="00403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733"/>
    <w:rPr>
      <w:rFonts w:ascii="Times New Roman" w:eastAsia="Times New Roman" w:hAnsi="Times New Roman" w:cs="Times New Roman"/>
      <w:sz w:val="16"/>
      <w:szCs w:val="20"/>
      <w:lang w:val="en-GB" w:eastAsia="en-US"/>
    </w:rPr>
  </w:style>
  <w:style w:type="paragraph" w:customStyle="1" w:styleId="Chapter">
    <w:name w:val="Chapter"/>
    <w:basedOn w:val="Normal"/>
    <w:rsid w:val="00403733"/>
    <w:pPr>
      <w:spacing w:before="240"/>
    </w:pPr>
    <w:rPr>
      <w:rFonts w:ascii="Times New Roman" w:hAnsi="Times New Roman"/>
      <w:smallCaps/>
      <w:spacing w:val="80"/>
      <w:sz w:val="28"/>
    </w:rPr>
  </w:style>
  <w:style w:type="paragraph" w:customStyle="1" w:styleId="InChapter">
    <w:name w:val="InChapter"/>
    <w:basedOn w:val="Heading3"/>
    <w:rsid w:val="00403733"/>
    <w:pPr>
      <w:spacing w:after="240"/>
      <w:outlineLvl w:val="9"/>
    </w:pPr>
    <w:rPr>
      <w:noProof/>
    </w:rPr>
  </w:style>
  <w:style w:type="paragraph" w:styleId="Index2">
    <w:name w:val="index 2"/>
    <w:basedOn w:val="Normal"/>
    <w:next w:val="Normal"/>
    <w:semiHidden/>
    <w:rsid w:val="00403733"/>
    <w:pPr>
      <w:tabs>
        <w:tab w:val="right" w:pos="4176"/>
      </w:tabs>
      <w:ind w:left="568" w:hanging="284"/>
    </w:pPr>
    <w:rPr>
      <w:rFonts w:ascii="Garamond" w:hAnsi="Garamond"/>
    </w:rPr>
  </w:style>
  <w:style w:type="paragraph" w:customStyle="1" w:styleId="Byline">
    <w:name w:val="Byline"/>
    <w:rsid w:val="00403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733"/>
    <w:pPr>
      <w:tabs>
        <w:tab w:val="clear" w:pos="3600"/>
        <w:tab w:val="clear" w:pos="3958"/>
      </w:tabs>
      <w:jc w:val="right"/>
    </w:pPr>
  </w:style>
  <w:style w:type="character" w:styleId="Emphasis">
    <w:name w:val="Emphasis"/>
    <w:basedOn w:val="DefaultParagraphFont"/>
    <w:qFormat/>
    <w:rsid w:val="00403733"/>
    <w:rPr>
      <w:i/>
    </w:rPr>
  </w:style>
  <w:style w:type="paragraph" w:styleId="Caption">
    <w:name w:val="caption"/>
    <w:basedOn w:val="BodyText"/>
    <w:next w:val="Normal"/>
    <w:qFormat/>
    <w:rsid w:val="00403733"/>
    <w:pPr>
      <w:framePr w:w="2268" w:hSpace="181" w:vSpace="181" w:wrap="around" w:vAnchor="text" w:hAnchor="page" w:x="1135" w:y="285" w:anchorLock="1"/>
    </w:pPr>
    <w:rPr>
      <w:i/>
    </w:rPr>
  </w:style>
  <w:style w:type="paragraph" w:customStyle="1" w:styleId="MiniTOCTitle">
    <w:name w:val="MiniTOCTitle"/>
    <w:basedOn w:val="Heading4"/>
    <w:rsid w:val="00403733"/>
    <w:pPr>
      <w:spacing w:before="240"/>
      <w:outlineLvl w:val="9"/>
    </w:pPr>
    <w:rPr>
      <w:noProof/>
      <w:sz w:val="24"/>
    </w:rPr>
  </w:style>
  <w:style w:type="paragraph" w:customStyle="1" w:styleId="MiniTOCItem">
    <w:name w:val="MiniTOCItem"/>
    <w:basedOn w:val="ListBullet"/>
    <w:rsid w:val="00403733"/>
    <w:pPr>
      <w:numPr>
        <w:numId w:val="0"/>
      </w:numPr>
      <w:tabs>
        <w:tab w:val="right" w:leader="dot" w:pos="6521"/>
      </w:tabs>
      <w:spacing w:before="0" w:after="0"/>
    </w:pPr>
  </w:style>
  <w:style w:type="paragraph" w:customStyle="1" w:styleId="TOFTitle">
    <w:name w:val="TOFTitle"/>
    <w:basedOn w:val="TOCTitle"/>
    <w:rsid w:val="00403733"/>
  </w:style>
  <w:style w:type="paragraph" w:styleId="TableofFigures">
    <w:name w:val="table of figures"/>
    <w:basedOn w:val="Normal"/>
    <w:next w:val="Normal"/>
    <w:semiHidden/>
    <w:rsid w:val="00403733"/>
    <w:pPr>
      <w:tabs>
        <w:tab w:val="right" w:leader="dot" w:pos="9072"/>
      </w:tabs>
      <w:ind w:left="970" w:hanging="403"/>
    </w:pPr>
    <w:rPr>
      <w:rFonts w:ascii="Times New Roman" w:hAnsi="Times New Roman"/>
      <w:b/>
    </w:rPr>
  </w:style>
  <w:style w:type="paragraph" w:styleId="ListNumber">
    <w:name w:val="List Number"/>
    <w:basedOn w:val="List"/>
    <w:rsid w:val="00403733"/>
    <w:pPr>
      <w:numPr>
        <w:numId w:val="11"/>
      </w:numPr>
    </w:pPr>
  </w:style>
  <w:style w:type="character" w:customStyle="1" w:styleId="WingdingSymbols">
    <w:name w:val="Wingding Symbols"/>
    <w:rsid w:val="00403733"/>
    <w:rPr>
      <w:rFonts w:ascii="Wingdings" w:hAnsi="Wingdings"/>
    </w:rPr>
  </w:style>
  <w:style w:type="paragraph" w:customStyle="1" w:styleId="TableHeading">
    <w:name w:val="Table Heading"/>
    <w:basedOn w:val="HeadingBase"/>
    <w:rsid w:val="00403733"/>
    <w:pPr>
      <w:keepLines/>
      <w:pBdr>
        <w:bottom w:val="single" w:sz="6" w:space="1" w:color="918585"/>
      </w:pBdr>
      <w:spacing w:before="240"/>
    </w:pPr>
  </w:style>
  <w:style w:type="character" w:customStyle="1" w:styleId="HotSpot">
    <w:name w:val="HotSpot"/>
    <w:rsid w:val="00403733"/>
    <w:rPr>
      <w:color w:val="0033CC"/>
      <w:u w:val="none"/>
    </w:rPr>
  </w:style>
  <w:style w:type="paragraph" w:customStyle="1" w:styleId="BodyTextRight">
    <w:name w:val="Body Text Right"/>
    <w:basedOn w:val="BodyText"/>
    <w:rsid w:val="00403733"/>
    <w:pPr>
      <w:spacing w:before="0" w:after="0"/>
      <w:jc w:val="right"/>
    </w:pPr>
  </w:style>
  <w:style w:type="paragraph" w:styleId="Index3">
    <w:name w:val="index 3"/>
    <w:basedOn w:val="ListNumber2"/>
    <w:next w:val="Normal"/>
    <w:semiHidden/>
    <w:rsid w:val="00403733"/>
    <w:pPr>
      <w:numPr>
        <w:numId w:val="0"/>
      </w:numPr>
      <w:tabs>
        <w:tab w:val="right" w:leader="dot" w:pos="4176"/>
      </w:tabs>
    </w:pPr>
  </w:style>
  <w:style w:type="paragraph" w:styleId="ListNumber2">
    <w:name w:val="List Number 2"/>
    <w:basedOn w:val="List2"/>
    <w:rsid w:val="00403733"/>
    <w:pPr>
      <w:numPr>
        <w:numId w:val="10"/>
      </w:numPr>
      <w:tabs>
        <w:tab w:val="clear" w:pos="1060"/>
      </w:tabs>
    </w:pPr>
  </w:style>
  <w:style w:type="paragraph" w:customStyle="1" w:styleId="MarginNote">
    <w:name w:val="Margin Note"/>
    <w:basedOn w:val="BodyText"/>
    <w:rsid w:val="00403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733"/>
    <w:rPr>
      <w:sz w:val="32"/>
    </w:rPr>
  </w:style>
  <w:style w:type="paragraph" w:customStyle="1" w:styleId="HeadingProcedure">
    <w:name w:val="Heading Procedure"/>
    <w:basedOn w:val="HeadingBase"/>
    <w:next w:val="Normal"/>
    <w:rsid w:val="00403733"/>
    <w:pPr>
      <w:tabs>
        <w:tab w:val="left" w:pos="0"/>
      </w:tabs>
      <w:spacing w:before="120" w:after="60"/>
    </w:pPr>
    <w:rPr>
      <w:i/>
      <w:color w:val="918585"/>
      <w:sz w:val="22"/>
    </w:rPr>
  </w:style>
  <w:style w:type="paragraph" w:customStyle="1" w:styleId="TableBodyText">
    <w:name w:val="Table Body Text"/>
    <w:basedOn w:val="BodyText"/>
    <w:rsid w:val="00403733"/>
    <w:pPr>
      <w:spacing w:before="60" w:after="60"/>
    </w:pPr>
  </w:style>
  <w:style w:type="paragraph" w:styleId="ListContinue">
    <w:name w:val="List Continue"/>
    <w:basedOn w:val="List"/>
    <w:rsid w:val="00403733"/>
    <w:pPr>
      <w:ind w:firstLine="0"/>
    </w:pPr>
  </w:style>
  <w:style w:type="paragraph" w:customStyle="1" w:styleId="ListNote">
    <w:name w:val="List Note"/>
    <w:basedOn w:val="List"/>
    <w:rsid w:val="00403733"/>
    <w:pPr>
      <w:pBdr>
        <w:top w:val="single" w:sz="6" w:space="2" w:color="918585"/>
        <w:bottom w:val="single" w:sz="6" w:space="2" w:color="918585"/>
      </w:pBdr>
      <w:tabs>
        <w:tab w:val="left" w:pos="1021"/>
      </w:tabs>
      <w:ind w:firstLine="0"/>
    </w:pPr>
  </w:style>
  <w:style w:type="paragraph" w:customStyle="1" w:styleId="Warning">
    <w:name w:val="Warning"/>
    <w:basedOn w:val="BodyText"/>
    <w:rsid w:val="00403733"/>
    <w:pPr>
      <w:shd w:val="clear" w:color="auto" w:fill="D9D9D9"/>
      <w:tabs>
        <w:tab w:val="left" w:pos="992"/>
      </w:tabs>
      <w:ind w:left="119" w:right="119"/>
    </w:pPr>
    <w:rPr>
      <w:sz w:val="20"/>
    </w:rPr>
  </w:style>
  <w:style w:type="paragraph" w:customStyle="1" w:styleId="MarginIcons">
    <w:name w:val="Margin Icons"/>
    <w:basedOn w:val="BodyText"/>
    <w:rsid w:val="00403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733"/>
    <w:rPr>
      <w:rFonts w:ascii="Courier New" w:hAnsi="Courier New"/>
    </w:rPr>
  </w:style>
  <w:style w:type="paragraph" w:customStyle="1" w:styleId="NoteBullet">
    <w:name w:val="Note Bullet"/>
    <w:basedOn w:val="Note"/>
    <w:rsid w:val="00403733"/>
    <w:pPr>
      <w:tabs>
        <w:tab w:val="clear" w:pos="680"/>
      </w:tabs>
      <w:spacing w:before="60" w:after="60"/>
    </w:pPr>
  </w:style>
  <w:style w:type="paragraph" w:customStyle="1" w:styleId="SubHeading2">
    <w:name w:val="SubHeading2"/>
    <w:basedOn w:val="HeadingBase"/>
    <w:rsid w:val="00403733"/>
    <w:pPr>
      <w:spacing w:before="240" w:after="60"/>
    </w:pPr>
    <w:rPr>
      <w:sz w:val="20"/>
    </w:rPr>
  </w:style>
  <w:style w:type="paragraph" w:customStyle="1" w:styleId="SubHeading1">
    <w:name w:val="SubHeading1"/>
    <w:basedOn w:val="HeadingBase"/>
    <w:rsid w:val="00403733"/>
    <w:pPr>
      <w:spacing w:before="240" w:after="60"/>
    </w:pPr>
    <w:rPr>
      <w:color w:val="918585"/>
      <w:sz w:val="22"/>
    </w:rPr>
  </w:style>
  <w:style w:type="paragraph" w:customStyle="1" w:styleId="SideHeading">
    <w:name w:val="Side Heading"/>
    <w:basedOn w:val="HeadingBase"/>
    <w:rsid w:val="00403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733"/>
    <w:pPr>
      <w:numPr>
        <w:numId w:val="12"/>
      </w:numPr>
    </w:pPr>
  </w:style>
  <w:style w:type="paragraph" w:styleId="PlainText">
    <w:name w:val="Plain Text"/>
    <w:basedOn w:val="Normal"/>
    <w:link w:val="PlainTextChar"/>
    <w:rsid w:val="00403733"/>
    <w:rPr>
      <w:sz w:val="20"/>
    </w:rPr>
  </w:style>
  <w:style w:type="character" w:customStyle="1" w:styleId="PlainTextChar">
    <w:name w:val="Plain Text Char"/>
    <w:basedOn w:val="DefaultParagraphFont"/>
    <w:link w:val="PlainText"/>
    <w:rsid w:val="00403733"/>
    <w:rPr>
      <w:rFonts w:ascii="Courier New" w:eastAsia="Times New Roman" w:hAnsi="Courier New" w:cs="Times New Roman"/>
      <w:sz w:val="20"/>
      <w:szCs w:val="20"/>
      <w:lang w:eastAsia="en-US"/>
    </w:rPr>
  </w:style>
  <w:style w:type="character" w:customStyle="1" w:styleId="MenuOption">
    <w:name w:val="Menu Option"/>
    <w:basedOn w:val="DefaultParagraphFont"/>
    <w:rsid w:val="00403733"/>
    <w:rPr>
      <w:b/>
      <w:smallCaps/>
    </w:rPr>
  </w:style>
  <w:style w:type="paragraph" w:customStyle="1" w:styleId="TableListNumber">
    <w:name w:val="Table List Number"/>
    <w:basedOn w:val="ListNumber"/>
    <w:rsid w:val="00403733"/>
    <w:pPr>
      <w:numPr>
        <w:numId w:val="0"/>
      </w:numPr>
    </w:pPr>
  </w:style>
  <w:style w:type="paragraph" w:styleId="TOC4">
    <w:name w:val="toc 4"/>
    <w:basedOn w:val="TOCBase"/>
    <w:next w:val="Normal"/>
    <w:semiHidden/>
    <w:rsid w:val="00403733"/>
    <w:pPr>
      <w:tabs>
        <w:tab w:val="right" w:leader="dot" w:pos="9071"/>
      </w:tabs>
      <w:ind w:left="1701"/>
    </w:pPr>
  </w:style>
  <w:style w:type="paragraph" w:customStyle="1" w:styleId="ListAlpha">
    <w:name w:val="List Alpha"/>
    <w:basedOn w:val="List"/>
    <w:rsid w:val="00403733"/>
    <w:pPr>
      <w:numPr>
        <w:numId w:val="9"/>
      </w:numPr>
    </w:pPr>
  </w:style>
  <w:style w:type="paragraph" w:customStyle="1" w:styleId="ListAlpha2">
    <w:name w:val="List Alpha 2"/>
    <w:basedOn w:val="List2"/>
    <w:rsid w:val="00403733"/>
    <w:pPr>
      <w:numPr>
        <w:numId w:val="8"/>
      </w:numPr>
    </w:pPr>
  </w:style>
  <w:style w:type="paragraph" w:styleId="List2">
    <w:name w:val="List 2"/>
    <w:basedOn w:val="BodyText"/>
    <w:rsid w:val="00403733"/>
    <w:pPr>
      <w:tabs>
        <w:tab w:val="left" w:pos="680"/>
      </w:tabs>
      <w:spacing w:before="60" w:after="60"/>
      <w:ind w:left="680" w:hanging="340"/>
    </w:pPr>
  </w:style>
  <w:style w:type="paragraph" w:styleId="List3">
    <w:name w:val="List 3"/>
    <w:basedOn w:val="BodyText"/>
    <w:rsid w:val="00403733"/>
    <w:pPr>
      <w:tabs>
        <w:tab w:val="left" w:pos="1021"/>
      </w:tabs>
      <w:spacing w:before="60" w:after="60"/>
      <w:ind w:left="1020" w:hanging="340"/>
    </w:pPr>
  </w:style>
  <w:style w:type="paragraph" w:styleId="List4">
    <w:name w:val="List 4"/>
    <w:basedOn w:val="BodyText"/>
    <w:rsid w:val="00403733"/>
    <w:pPr>
      <w:tabs>
        <w:tab w:val="left" w:pos="1361"/>
      </w:tabs>
      <w:spacing w:before="60" w:after="60"/>
      <w:ind w:left="1361" w:hanging="340"/>
    </w:pPr>
  </w:style>
  <w:style w:type="paragraph" w:styleId="List5">
    <w:name w:val="List 5"/>
    <w:basedOn w:val="BodyText"/>
    <w:rsid w:val="00403733"/>
    <w:pPr>
      <w:tabs>
        <w:tab w:val="left" w:pos="1701"/>
      </w:tabs>
      <w:spacing w:before="60" w:after="60"/>
      <w:ind w:left="1701" w:hanging="340"/>
    </w:pPr>
  </w:style>
  <w:style w:type="paragraph" w:styleId="ListBullet3">
    <w:name w:val="List Bullet 3"/>
    <w:basedOn w:val="List3"/>
    <w:rsid w:val="00403733"/>
    <w:pPr>
      <w:numPr>
        <w:numId w:val="15"/>
      </w:numPr>
      <w:tabs>
        <w:tab w:val="clear" w:pos="1021"/>
      </w:tabs>
      <w:ind w:left="1037" w:hanging="357"/>
    </w:pPr>
  </w:style>
  <w:style w:type="paragraph" w:styleId="ListBullet4">
    <w:name w:val="List Bullet 4"/>
    <w:basedOn w:val="List4"/>
    <w:rsid w:val="00403733"/>
    <w:pPr>
      <w:numPr>
        <w:numId w:val="3"/>
      </w:numPr>
      <w:tabs>
        <w:tab w:val="clear" w:pos="1361"/>
      </w:tabs>
    </w:pPr>
  </w:style>
  <w:style w:type="paragraph" w:styleId="ListBullet5">
    <w:name w:val="List Bullet 5"/>
    <w:basedOn w:val="List5"/>
    <w:rsid w:val="00403733"/>
    <w:pPr>
      <w:numPr>
        <w:numId w:val="4"/>
      </w:numPr>
    </w:pPr>
  </w:style>
  <w:style w:type="paragraph" w:styleId="ListContinue2">
    <w:name w:val="List Continue 2"/>
    <w:basedOn w:val="List2"/>
    <w:rsid w:val="00403733"/>
    <w:pPr>
      <w:ind w:firstLine="0"/>
    </w:pPr>
  </w:style>
  <w:style w:type="paragraph" w:styleId="ListContinue3">
    <w:name w:val="List Continue 3"/>
    <w:basedOn w:val="List3"/>
    <w:rsid w:val="00403733"/>
    <w:pPr>
      <w:ind w:left="1021" w:firstLine="0"/>
    </w:pPr>
  </w:style>
  <w:style w:type="paragraph" w:styleId="ListContinue4">
    <w:name w:val="List Continue 4"/>
    <w:basedOn w:val="List4"/>
    <w:rsid w:val="00403733"/>
    <w:pPr>
      <w:ind w:firstLine="0"/>
    </w:pPr>
  </w:style>
  <w:style w:type="paragraph" w:styleId="ListContinue5">
    <w:name w:val="List Continue 5"/>
    <w:basedOn w:val="List5"/>
    <w:rsid w:val="00403733"/>
    <w:pPr>
      <w:ind w:firstLine="0"/>
    </w:pPr>
  </w:style>
  <w:style w:type="paragraph" w:styleId="ListNumber3">
    <w:name w:val="List Number 3"/>
    <w:basedOn w:val="List3"/>
    <w:rsid w:val="00403733"/>
    <w:pPr>
      <w:numPr>
        <w:numId w:val="5"/>
      </w:numPr>
    </w:pPr>
  </w:style>
  <w:style w:type="paragraph" w:styleId="ListNumber4">
    <w:name w:val="List Number 4"/>
    <w:basedOn w:val="List4"/>
    <w:rsid w:val="00403733"/>
    <w:pPr>
      <w:numPr>
        <w:numId w:val="6"/>
      </w:numPr>
    </w:pPr>
  </w:style>
  <w:style w:type="paragraph" w:styleId="ListNumber5">
    <w:name w:val="List Number 5"/>
    <w:basedOn w:val="List5"/>
    <w:rsid w:val="00403733"/>
    <w:pPr>
      <w:numPr>
        <w:numId w:val="7"/>
      </w:numPr>
    </w:pPr>
  </w:style>
  <w:style w:type="paragraph" w:styleId="BlockText">
    <w:name w:val="Block Text"/>
    <w:basedOn w:val="Normal"/>
    <w:rsid w:val="00403733"/>
    <w:pPr>
      <w:spacing w:after="120"/>
      <w:ind w:left="1440" w:right="1440"/>
    </w:pPr>
  </w:style>
  <w:style w:type="character" w:customStyle="1" w:styleId="Subscript">
    <w:name w:val="Subscript"/>
    <w:basedOn w:val="DefaultParagraphFont"/>
    <w:rsid w:val="00403733"/>
    <w:rPr>
      <w:sz w:val="16"/>
      <w:vertAlign w:val="subscript"/>
    </w:rPr>
  </w:style>
  <w:style w:type="character" w:customStyle="1" w:styleId="Superscript">
    <w:name w:val="Superscript"/>
    <w:basedOn w:val="DefaultParagraphFont"/>
    <w:rsid w:val="00403733"/>
    <w:rPr>
      <w:sz w:val="16"/>
      <w:vertAlign w:val="superscript"/>
    </w:rPr>
  </w:style>
  <w:style w:type="character" w:customStyle="1" w:styleId="Symbols">
    <w:name w:val="Symbols"/>
    <w:basedOn w:val="DefaultParagraphFont"/>
    <w:rsid w:val="00403733"/>
    <w:rPr>
      <w:rFonts w:ascii="Symbol" w:hAnsi="Symbol"/>
    </w:rPr>
  </w:style>
  <w:style w:type="character" w:customStyle="1" w:styleId="MenuOptions">
    <w:name w:val="Menu Options"/>
    <w:basedOn w:val="DefaultParagraphFont"/>
    <w:rsid w:val="00403733"/>
    <w:rPr>
      <w:rFonts w:ascii="Arial Narrow" w:hAnsi="Arial Narrow"/>
      <w:smallCaps/>
    </w:rPr>
  </w:style>
  <w:style w:type="character" w:customStyle="1" w:styleId="Buttons">
    <w:name w:val="Buttons"/>
    <w:basedOn w:val="DefaultParagraphFont"/>
    <w:rsid w:val="00403733"/>
    <w:rPr>
      <w:b/>
    </w:rPr>
  </w:style>
  <w:style w:type="character" w:customStyle="1" w:styleId="Underlined">
    <w:name w:val="Underlined"/>
    <w:basedOn w:val="DefaultParagraphFont"/>
    <w:rsid w:val="00403733"/>
    <w:rPr>
      <w:u w:val="single"/>
    </w:rPr>
  </w:style>
  <w:style w:type="paragraph" w:customStyle="1" w:styleId="TableBodyTextRight">
    <w:name w:val="Table Body Text Right"/>
    <w:basedOn w:val="TableBodyText"/>
    <w:rsid w:val="00403733"/>
    <w:pPr>
      <w:widowControl w:val="0"/>
      <w:autoSpaceDE w:val="0"/>
      <w:autoSpaceDN w:val="0"/>
      <w:adjustRightInd w:val="0"/>
      <w:jc w:val="right"/>
    </w:pPr>
    <w:rPr>
      <w:rFonts w:cs="Arial"/>
      <w:szCs w:val="18"/>
    </w:rPr>
  </w:style>
  <w:style w:type="paragraph" w:customStyle="1" w:styleId="CopyrightText">
    <w:name w:val="Copyright Text"/>
    <w:basedOn w:val="BodyText"/>
    <w:rsid w:val="00403733"/>
    <w:rPr>
      <w:sz w:val="18"/>
    </w:rPr>
  </w:style>
  <w:style w:type="paragraph" w:customStyle="1" w:styleId="BodySmallRight">
    <w:name w:val="Body Small Right"/>
    <w:basedOn w:val="BodyTextRight"/>
    <w:rsid w:val="00403733"/>
    <w:rPr>
      <w:sz w:val="18"/>
      <w:szCs w:val="18"/>
    </w:rPr>
  </w:style>
  <w:style w:type="paragraph" w:customStyle="1" w:styleId="MarginEdition">
    <w:name w:val="Margin Edition"/>
    <w:basedOn w:val="MarginNote"/>
    <w:rsid w:val="00403733"/>
    <w:pPr>
      <w:spacing w:before="0" w:after="0"/>
    </w:pPr>
    <w:rPr>
      <w:rFonts w:ascii="Times New Roman" w:hAnsi="Times New Roman"/>
      <w:color w:val="999999"/>
    </w:rPr>
  </w:style>
  <w:style w:type="paragraph" w:customStyle="1" w:styleId="Spacer">
    <w:name w:val="Spacer"/>
    <w:basedOn w:val="Normal"/>
    <w:rsid w:val="00403733"/>
    <w:rPr>
      <w:sz w:val="2"/>
      <w:szCs w:val="2"/>
    </w:rPr>
  </w:style>
  <w:style w:type="character" w:customStyle="1" w:styleId="Small">
    <w:name w:val="Small"/>
    <w:basedOn w:val="DefaultParagraphFont"/>
    <w:rsid w:val="00403733"/>
    <w:rPr>
      <w:sz w:val="16"/>
    </w:rPr>
  </w:style>
  <w:style w:type="paragraph" w:customStyle="1" w:styleId="WideTable">
    <w:name w:val="Wide Table"/>
    <w:basedOn w:val="Normal"/>
    <w:rsid w:val="00403733"/>
    <w:pPr>
      <w:ind w:left="-1418"/>
    </w:pPr>
    <w:rPr>
      <w:sz w:val="2"/>
      <w:szCs w:val="2"/>
    </w:rPr>
  </w:style>
  <w:style w:type="character" w:styleId="PageNumber">
    <w:name w:val="page number"/>
    <w:basedOn w:val="DefaultParagraphFont"/>
    <w:rsid w:val="00403733"/>
  </w:style>
  <w:style w:type="paragraph" w:styleId="Quote">
    <w:name w:val="Quote"/>
    <w:basedOn w:val="Heading1"/>
    <w:link w:val="QuoteChar"/>
    <w:qFormat/>
    <w:rsid w:val="00403733"/>
    <w:rPr>
      <w:b w:val="0"/>
      <w:sz w:val="72"/>
      <w:szCs w:val="72"/>
      <w:lang w:val="en-NZ"/>
    </w:rPr>
  </w:style>
  <w:style w:type="character" w:customStyle="1" w:styleId="QuoteChar">
    <w:name w:val="Quote Char"/>
    <w:basedOn w:val="DefaultParagraphFont"/>
    <w:link w:val="Quote"/>
    <w:rsid w:val="00403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733"/>
    <w:pPr>
      <w:pageBreakBefore/>
    </w:pPr>
  </w:style>
  <w:style w:type="paragraph" w:customStyle="1" w:styleId="Border">
    <w:name w:val="Border"/>
    <w:basedOn w:val="Normal"/>
    <w:qFormat/>
    <w:rsid w:val="00403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733"/>
    <w:rPr>
      <w:b/>
      <w:bCs/>
      <w:i/>
      <w:iCs/>
      <w:color w:val="auto"/>
    </w:rPr>
  </w:style>
  <w:style w:type="paragraph" w:styleId="IntenseQuote">
    <w:name w:val="Intense Quote"/>
    <w:basedOn w:val="Normal"/>
    <w:next w:val="Normal"/>
    <w:link w:val="IntenseQuoteChar"/>
    <w:uiPriority w:val="30"/>
    <w:qFormat/>
    <w:rsid w:val="00403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733"/>
    <w:rPr>
      <w:smallCaps/>
      <w:color w:val="auto"/>
      <w:u w:val="single"/>
    </w:rPr>
  </w:style>
  <w:style w:type="character" w:styleId="IntenseReference">
    <w:name w:val="Intense Reference"/>
    <w:basedOn w:val="DefaultParagraphFont"/>
    <w:uiPriority w:val="32"/>
    <w:qFormat/>
    <w:rsid w:val="00403733"/>
    <w:rPr>
      <w:b/>
      <w:bCs/>
      <w:smallCaps/>
      <w:color w:val="auto"/>
      <w:spacing w:val="5"/>
      <w:u w:val="single"/>
    </w:rPr>
  </w:style>
  <w:style w:type="paragraph" w:customStyle="1" w:styleId="2ColumnHeading">
    <w:name w:val="2Column Heading"/>
    <w:basedOn w:val="BodyText"/>
    <w:qFormat/>
    <w:rsid w:val="00403733"/>
    <w:pPr>
      <w:spacing w:after="60"/>
      <w:ind w:left="-2268"/>
    </w:pPr>
    <w:rPr>
      <w:b/>
    </w:rPr>
  </w:style>
  <w:style w:type="paragraph" w:customStyle="1" w:styleId="Heading1TOC">
    <w:name w:val="Heading1 TOC"/>
    <w:basedOn w:val="Normal"/>
    <w:qFormat/>
    <w:rsid w:val="00403733"/>
    <w:pPr>
      <w:spacing w:before="240" w:after="120"/>
    </w:pPr>
    <w:rPr>
      <w:rFonts w:ascii="Times New Roman" w:hAnsi="Times New Roman"/>
      <w:b/>
      <w:sz w:val="32"/>
    </w:rPr>
  </w:style>
  <w:style w:type="paragraph" w:customStyle="1" w:styleId="Heading2TOC">
    <w:name w:val="Heading2 TOC"/>
    <w:basedOn w:val="Normal"/>
    <w:qFormat/>
    <w:rsid w:val="00403733"/>
    <w:pPr>
      <w:spacing w:before="240" w:after="60"/>
    </w:pPr>
    <w:rPr>
      <w:rFonts w:ascii="Times New Roman" w:hAnsi="Times New Roman"/>
      <w:b/>
      <w:sz w:val="28"/>
    </w:rPr>
  </w:style>
  <w:style w:type="character" w:customStyle="1" w:styleId="Underline">
    <w:name w:val="Underline"/>
    <w:basedOn w:val="DefaultParagraphFont"/>
    <w:qFormat/>
    <w:rsid w:val="00403733"/>
    <w:rPr>
      <w:u w:val="single"/>
    </w:rPr>
  </w:style>
  <w:style w:type="paragraph" w:styleId="BalloonText">
    <w:name w:val="Balloon Text"/>
    <w:basedOn w:val="Normal"/>
    <w:link w:val="BalloonTextChar"/>
    <w:rsid w:val="00403733"/>
    <w:rPr>
      <w:rFonts w:ascii="Tahoma" w:hAnsi="Tahoma" w:cs="Tahoma"/>
      <w:sz w:val="16"/>
      <w:szCs w:val="16"/>
    </w:rPr>
  </w:style>
  <w:style w:type="character" w:customStyle="1" w:styleId="BalloonTextChar">
    <w:name w:val="Balloon Text Char"/>
    <w:basedOn w:val="DefaultParagraphFont"/>
    <w:link w:val="BalloonText"/>
    <w:rsid w:val="00403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733"/>
    <w:rPr>
      <w:b/>
      <w:color w:val="660033"/>
      <w:spacing w:val="0"/>
    </w:rPr>
  </w:style>
  <w:style w:type="paragraph" w:customStyle="1" w:styleId="Nameditemlist">
    <w:name w:val="Named item list"/>
    <w:basedOn w:val="BodyText"/>
    <w:qFormat/>
    <w:rsid w:val="00403733"/>
    <w:pPr>
      <w:tabs>
        <w:tab w:val="left" w:pos="2835"/>
      </w:tabs>
      <w:ind w:left="2835" w:hanging="2835"/>
    </w:pPr>
  </w:style>
  <w:style w:type="paragraph" w:customStyle="1" w:styleId="BodyTextnopadding">
    <w:name w:val="Body Text no padding"/>
    <w:basedOn w:val="BodyText"/>
    <w:qFormat/>
    <w:rsid w:val="00403733"/>
    <w:pPr>
      <w:spacing w:before="0" w:after="0"/>
    </w:pPr>
  </w:style>
  <w:style w:type="character" w:styleId="Hyperlink">
    <w:name w:val="Hyperlink"/>
    <w:basedOn w:val="DefaultParagraphFont"/>
    <w:uiPriority w:val="99"/>
    <w:unhideWhenUsed/>
    <w:rsid w:val="000B7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6288</Characters>
  <Application>Microsoft Office Word</Application>
  <DocSecurity>0</DocSecurity>
  <Lines>273</Lines>
  <Paragraphs>138</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CPCCWHS3001 Identify construction work hazards and select risk control strategies</dc:title>
  <dc:subject>Approved</dc:subject>
  <dc:creator>Artibus Innovation</dc:creator>
  <cp:keywords>Release: 1</cp:keywords>
  <dc:description>Review Date: 12 April 2008</dc:description>
  <cp:lastModifiedBy>HSD_TPCMSd.prod</cp:lastModifiedBy>
  <cp:revision>3</cp:revision>
  <dcterms:created xsi:type="dcterms:W3CDTF">2019-01-17T03:22:00Z</dcterms:created>
  <dcterms:modified xsi:type="dcterms:W3CDTF">2019-01-17T03:22:00Z</dcterms:modified>
</cp:coreProperties>
</file>