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D4B" w:rsidP="00D57D4B">
      <w:pPr>
        <w:pStyle w:val="Title"/>
      </w:pPr>
      <w:r>
        <w:fldChar w:fldCharType="begin"/>
      </w:r>
      <w:r>
        <w:instrText xml:space="preserve"> TITLE   \* MERGEFORMAT </w:instrText>
      </w:r>
      <w:r>
        <w:fldChar w:fldCharType="separate"/>
      </w:r>
      <w:r>
        <w:t>CPCCWHS1001 Prepare to work safely in the construction industry</w:t>
      </w:r>
      <w:r>
        <w:fldChar w:fldCharType="end"/>
      </w:r>
    </w:p>
    <w:p w:rsidR="00D57D4B" w:rsidP="00D57D4B">
      <w:pPr>
        <w:pStyle w:val="Version"/>
        <w:sectPr w:rsidSect="001A0F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F63" w:rsidP="001A0F63">
      <w:pPr>
        <w:pStyle w:val="SuperHeading"/>
      </w:pPr>
      <w:r w:rsidRPr="001A0F63">
        <w:t>CPCCWHS1001 Prepare to work safely in the construction industry</w:t>
      </w:r>
    </w:p>
    <w:p w:rsidR="00000000" w:rsidRPr="001A0F63" w:rsidP="001A0F63">
      <w:pPr>
        <w:pStyle w:val="Heading1"/>
      </w:pPr>
      <w:bookmarkStart w:id="1" w:name="O_848456"/>
      <w:bookmarkEnd w:id="1"/>
      <w:r w:rsidRPr="001A0F63">
        <w:t>Modification History</w:t>
      </w:r>
    </w:p>
    <w:tbl>
      <w:tblPr>
        <w:tblW w:w="0" w:type="auto"/>
        <w:tblCellMar>
          <w:left w:w="62" w:type="dxa"/>
          <w:right w:w="62" w:type="dxa"/>
        </w:tblCellMar>
        <w:tblLook w:val="0000"/>
      </w:tblPr>
      <w:tblGrid>
        <w:gridCol w:w="4598"/>
        <w:gridCol w:w="4598"/>
      </w:tblGrid>
      <w:tr w:rsidTr="00D57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Release</w:t>
            </w:r>
          </w:p>
        </w:tc>
        <w:tc>
          <w:tcPr>
            <w:tcW w:w="0" w:type="auto"/>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Comment</w:t>
            </w:r>
          </w:p>
        </w:tc>
      </w:tr>
      <w:tr w:rsidTr="00D57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Version 1</w:t>
            </w:r>
          </w:p>
        </w:tc>
        <w:tc>
          <w:tcPr>
            <w:tcW w:w="0" w:type="auto"/>
            <w:tcBorders>
              <w:top w:val="nil"/>
              <w:left w:val="nil"/>
              <w:bottom w:val="nil"/>
              <w:right w:val="nil"/>
            </w:tcBorders>
            <w:tcMar>
              <w:top w:w="0" w:type="dxa"/>
              <w:left w:w="62" w:type="dxa"/>
              <w:bottom w:w="0" w:type="dxa"/>
              <w:right w:w="62" w:type="dxa"/>
            </w:tcMar>
          </w:tcPr>
          <w:p w:rsidR="00000000" w:rsidRPr="001A0F63" w:rsidP="001A0F63">
            <w:pPr>
              <w:pStyle w:val="BodyText"/>
            </w:pPr>
            <w:r w:rsidRPr="001A0F63">
              <w:t>Replaces superseded equivalent CPCCOHS1001A Work safely in the construction industry.</w:t>
            </w:r>
          </w:p>
        </w:tc>
      </w:tr>
    </w:tbl>
    <w:p w:rsidR="00000000" w:rsidRPr="001A0F63" w:rsidP="001A0F63">
      <w:pPr>
        <w:pStyle w:val="BodyText"/>
      </w:pPr>
    </w:p>
    <w:p w:rsidR="00000000" w:rsidRPr="001A0F63" w:rsidP="001A0F63">
      <w:pPr>
        <w:pStyle w:val="AllowPageBreak"/>
      </w:pPr>
    </w:p>
    <w:p w:rsidR="00000000" w:rsidRPr="001A0F63" w:rsidP="001A0F63">
      <w:pPr>
        <w:pStyle w:val="Heading1"/>
      </w:pPr>
      <w:bookmarkStart w:id="2" w:name="O_848464"/>
      <w:bookmarkEnd w:id="2"/>
      <w:r w:rsidRPr="001A0F63">
        <w:t>Application</w:t>
      </w:r>
    </w:p>
    <w:p w:rsidR="00000000" w:rsidRPr="001A0F63" w:rsidP="00D57D4B">
      <w:pPr>
        <w:pStyle w:val="BodyText"/>
      </w:pPr>
      <w:r w:rsidRPr="001A0F63">
        <w:t>This unit of competency specifies the mandatory work health and safety training required prior to undertaking construction work. The unit requires the person to demonstrate personal awareness and knowledge of health and safety legislative requirements in o</w:t>
      </w:r>
      <w:r w:rsidRPr="001A0F63">
        <w:t>rder to work safely and prevent injury or harm to self and others. It covers identifying and orally reporting common construction hazards, understanding basic risk control measures, and identifying procedures for responding to potential incidents and emerg</w:t>
      </w:r>
      <w:r w:rsidRPr="001A0F63">
        <w:t>encies. It also covers correctly selecting and fitting common personal protective equipment (PPE) used for construction work.</w:t>
      </w:r>
    </w:p>
    <w:p w:rsidR="00000000" w:rsidRPr="001A0F63" w:rsidP="00D57D4B">
      <w:pPr>
        <w:pStyle w:val="BodyText"/>
      </w:pPr>
      <w:r w:rsidRPr="001A0F63">
        <w:t>This unit meets the general construction induction training requirements of:</w:t>
      </w:r>
    </w:p>
    <w:p w:rsidR="00000000" w:rsidRPr="001A0F63" w:rsidP="001A0F63">
      <w:pPr>
        <w:pStyle w:val="ListBullet"/>
      </w:pPr>
      <w:r w:rsidRPr="001A0F63">
        <w:t>Part 1.1 Definitions and Part 6.5 of the Model Work</w:t>
      </w:r>
      <w:r w:rsidRPr="001A0F63">
        <w:t xml:space="preserve"> Health and Safety Regulations;</w:t>
      </w:r>
    </w:p>
    <w:p w:rsidR="00000000" w:rsidRPr="001A0F63" w:rsidP="001A0F63">
      <w:pPr>
        <w:pStyle w:val="ListBullet"/>
      </w:pPr>
      <w:r w:rsidRPr="001A0F63">
        <w:t>Division 11 of Part 3 of the Occupational Safety and Health Regulations 1996 for Western Australia; and</w:t>
      </w:r>
    </w:p>
    <w:p w:rsidR="00000000" w:rsidRPr="001A0F63" w:rsidP="001A0F63">
      <w:pPr>
        <w:pStyle w:val="ListBullet"/>
      </w:pPr>
      <w:r w:rsidRPr="001A0F63">
        <w:t>Division 3 of Part 5.1 of the Occupational Health and Safety Regulations 2007 for Victoria.</w:t>
      </w:r>
    </w:p>
    <w:p w:rsidR="00000000" w:rsidRPr="001A0F63" w:rsidP="001A0F63">
      <w:pPr>
        <w:pStyle w:val="BodyText"/>
      </w:pPr>
    </w:p>
    <w:p w:rsidR="00000000" w:rsidRPr="001A0F63" w:rsidP="00D57D4B">
      <w:pPr>
        <w:pStyle w:val="BodyText"/>
      </w:pPr>
      <w:r w:rsidRPr="001A0F63">
        <w:t xml:space="preserve">It is expected that site-specific induction training will be conducted prior to conducting construction work. </w:t>
      </w:r>
    </w:p>
    <w:p w:rsidR="00000000" w:rsidRPr="001A0F63" w:rsidP="00D57D4B">
      <w:pPr>
        <w:pStyle w:val="BodyText"/>
      </w:pPr>
      <w:r w:rsidRPr="001A0F63">
        <w:t>Licensing, legislative, regulatory or certification requirements apply to this unit. Relevant work health and safety state and territory regulat</w:t>
      </w:r>
      <w:r w:rsidRPr="001A0F63">
        <w:t>ory authorities should be consulted to confirm jurisdictional requirements.</w:t>
      </w:r>
    </w:p>
    <w:p w:rsidR="00000000" w:rsidRPr="001A0F63" w:rsidP="001A0F63">
      <w:pPr>
        <w:pStyle w:val="Heading1"/>
      </w:pPr>
      <w:bookmarkStart w:id="3" w:name="O_848463"/>
      <w:bookmarkEnd w:id="3"/>
      <w:r w:rsidRPr="001A0F63">
        <w:t>Pre-requisite Unit</w:t>
      </w:r>
    </w:p>
    <w:p w:rsidR="00000000" w:rsidRPr="001A0F63" w:rsidP="00D57D4B">
      <w:pPr>
        <w:pStyle w:val="BodyText"/>
      </w:pPr>
      <w:r w:rsidRPr="001A0F63">
        <w:t>Nil</w:t>
      </w:r>
    </w:p>
    <w:p w:rsidR="00000000" w:rsidRPr="001A0F63" w:rsidP="001A0F63">
      <w:pPr>
        <w:pStyle w:val="Heading1"/>
      </w:pPr>
      <w:bookmarkStart w:id="4" w:name="O_848461"/>
      <w:bookmarkEnd w:id="4"/>
      <w:r w:rsidRPr="001A0F63">
        <w:t>Unit Sector</w:t>
      </w:r>
    </w:p>
    <w:p w:rsidR="00000000" w:rsidRPr="001A0F63" w:rsidP="00D57D4B">
      <w:pPr>
        <w:pStyle w:val="BodyText"/>
      </w:pPr>
      <w:r w:rsidRPr="001A0F63">
        <w:t>Construction</w:t>
      </w:r>
    </w:p>
    <w:p w:rsidR="00000000" w:rsidRPr="001A0F63" w:rsidP="001A0F63">
      <w:pPr>
        <w:pStyle w:val="Heading1"/>
      </w:pPr>
      <w:bookmarkStart w:id="5" w:name="O_848460"/>
      <w:bookmarkEnd w:id="5"/>
      <w:r w:rsidRPr="001A0F6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A0F6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Perf</w:t>
            </w:r>
            <w:r w:rsidRPr="001A0F63">
              <w:t>ormance criteria describe the performance needed to demonstrate achievement of the element. Where bold italicised text is used, further information is detailed in the range of conditions.</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1.</w:t>
            </w:r>
          </w:p>
        </w:tc>
        <w:tc>
          <w:tcPr>
            <w:tcW w:w="1962" w:type="dxa"/>
            <w:vMerge w:val="restart"/>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Identify health and safety legislative requirements of construction work.</w:t>
            </w: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1.1.</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 xml:space="preserve">Basic roles, responsibilities and rights of duty holders are identified and explained according to </w:t>
            </w:r>
            <w:r w:rsidRPr="001A0F63">
              <w:rPr>
                <w:rStyle w:val="BoldandItalics"/>
              </w:rPr>
              <w:t>jurisdictional health and safety legislative requirements</w:t>
            </w:r>
            <w:r w:rsidRPr="001A0F63">
              <w:t>.</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1.2.</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Duty of car</w:t>
            </w:r>
            <w:r w:rsidRPr="001A0F63">
              <w:t>e requirements are identified.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1.3.</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Construction safe work practices are identified and explained.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2.</w:t>
            </w:r>
          </w:p>
        </w:tc>
        <w:tc>
          <w:tcPr>
            <w:tcW w:w="1962" w:type="dxa"/>
            <w:vMerge w:val="restart"/>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Identify construction hazards and risk control measures.</w:t>
            </w: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2.1.</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Basic principles of risk management are identified.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2.2.</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Construction hazards are identified and discussed.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2.3.</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Purpose and use of PPE are identified and demonstrated.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2.4.</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Measures for controlling hazards are identified.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3.</w:t>
            </w:r>
          </w:p>
        </w:tc>
        <w:tc>
          <w:tcPr>
            <w:tcW w:w="1962" w:type="dxa"/>
            <w:vMerge w:val="restart"/>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Identify health and safety communication and reporting processes.</w:t>
            </w: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3.1.</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Health and safety documents are identified and discussed.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3.2.</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Roles of designated health and safety personnel are identified and explained.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3.3.</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Safety signs and symbols are identified and explained.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3.4.</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Procedures for reporting hazards, incidents and injuries are identified.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4.</w:t>
            </w:r>
          </w:p>
        </w:tc>
        <w:tc>
          <w:tcPr>
            <w:tcW w:w="1962" w:type="dxa"/>
            <w:vMerge w:val="restart"/>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 xml:space="preserve">Identify incident and emergency response </w:t>
            </w:r>
            <w:r w:rsidRPr="001A0F63">
              <w:t>procedures.</w:t>
            </w: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4.1.</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Procedures for responding to incidents and emergencies are identified and explained.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4.2.</w:t>
            </w:r>
          </w:p>
        </w:tc>
        <w:tc>
          <w:tcPr>
            <w:tcW w:w="561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Procedures for accessing first aid are identified.</w:t>
            </w:r>
          </w:p>
        </w:tc>
      </w:tr>
      <w:tr w:rsidTr="001A0F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4.3.</w:t>
            </w:r>
          </w:p>
        </w:tc>
        <w:tc>
          <w:tcPr>
            <w:tcW w:w="5610" w:type="dxa"/>
            <w:tcBorders>
              <w:top w:val="nil"/>
              <w:left w:val="nil"/>
              <w:bottom w:val="nil"/>
              <w:right w:val="nil"/>
            </w:tcBorders>
            <w:tcMar>
              <w:top w:w="0" w:type="dxa"/>
              <w:left w:w="62" w:type="dxa"/>
              <w:bottom w:w="0" w:type="dxa"/>
              <w:right w:w="62" w:type="dxa"/>
            </w:tcMar>
          </w:tcPr>
          <w:p w:rsidR="00000000" w:rsidRPr="001A0F63" w:rsidP="001A0F63">
            <w:pPr>
              <w:pStyle w:val="BodyText"/>
            </w:pPr>
            <w:r w:rsidRPr="001A0F63">
              <w:t>Types and purpose of fire safety equipment are identified and discussed.</w:t>
            </w:r>
          </w:p>
        </w:tc>
      </w:tr>
    </w:tbl>
    <w:p w:rsidR="00000000" w:rsidRPr="001A0F63" w:rsidP="001A0F63">
      <w:pPr>
        <w:pStyle w:val="BodyText"/>
      </w:pPr>
    </w:p>
    <w:p w:rsidR="00000000" w:rsidRPr="001A0F63" w:rsidP="001A0F63">
      <w:pPr>
        <w:pStyle w:val="AllowPageBreak"/>
      </w:pPr>
    </w:p>
    <w:p w:rsidR="00000000" w:rsidRPr="001A0F63" w:rsidP="001A0F63">
      <w:pPr>
        <w:pStyle w:val="Heading1"/>
      </w:pPr>
      <w:bookmarkStart w:id="6" w:name="O_848459"/>
      <w:bookmarkEnd w:id="6"/>
      <w:r w:rsidRPr="001A0F63">
        <w:t>Foundation Skills</w:t>
      </w:r>
    </w:p>
    <w:tbl>
      <w:tblPr>
        <w:tblW w:w="0" w:type="auto"/>
        <w:tblLayout w:type="fixed"/>
        <w:tblCellMar>
          <w:left w:w="62" w:type="dxa"/>
          <w:right w:w="62" w:type="dxa"/>
        </w:tblCellMar>
        <w:tblLook w:val="0000"/>
      </w:tblPr>
      <w:tblGrid>
        <w:gridCol w:w="2195"/>
        <w:gridCol w:w="6877"/>
      </w:tblGrid>
      <w:tr w:rsidTr="001A0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This section describes the language, literacy, numeracy and employment skills essential</w:t>
            </w:r>
            <w:r w:rsidRPr="001A0F63">
              <w:t xml:space="preserve"> to performance in this unit but not explicit in the performance criteria.</w:t>
            </w:r>
          </w:p>
        </w:tc>
      </w:tr>
      <w:tr w:rsidTr="001A0F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A0F63" w:rsidP="001A0F63">
            <w:pPr>
              <w:pStyle w:val="BodyText"/>
            </w:pPr>
            <w:r w:rsidRPr="001A0F6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rPr>
                <w:rStyle w:val="SpecialBold"/>
              </w:rPr>
              <w:t>Performance feature</w:t>
            </w:r>
          </w:p>
        </w:tc>
      </w:tr>
      <w:tr w:rsidTr="001A0F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Numeracy skills to:</w:t>
            </w:r>
          </w:p>
        </w:tc>
        <w:tc>
          <w:tcPr>
            <w:tcW w:w="6877" w:type="dxa"/>
            <w:tcBorders>
              <w:top w:val="nil"/>
              <w:left w:val="nil"/>
              <w:bottom w:val="nil"/>
              <w:right w:val="nil"/>
            </w:tcBorders>
            <w:tcMar>
              <w:top w:w="0" w:type="dxa"/>
              <w:left w:w="62" w:type="dxa"/>
              <w:bottom w:w="0" w:type="dxa"/>
              <w:right w:w="62" w:type="dxa"/>
            </w:tcMar>
          </w:tcPr>
          <w:p w:rsidR="00000000" w:rsidRPr="001A0F63" w:rsidP="001A0F63">
            <w:pPr>
              <w:pStyle w:val="ListBullet"/>
            </w:pPr>
            <w:r w:rsidRPr="001A0F63">
              <w:t>locate and recognise numbers commonly used in safety signs.</w:t>
            </w:r>
          </w:p>
          <w:p w:rsidR="00000000" w:rsidP="001A0F63">
            <w:pPr>
              <w:pStyle w:val="BodyText"/>
              <w:rPr>
                <w:lang w:val="en-NZ"/>
              </w:rPr>
            </w:pPr>
          </w:p>
        </w:tc>
      </w:tr>
      <w:tr w:rsidTr="001A0F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A0F63" w:rsidP="001A0F63">
            <w:pPr>
              <w:pStyle w:val="ListBullet"/>
            </w:pPr>
            <w:r w:rsidRPr="001A0F63">
              <w:t>ask questions to clarify instructions</w:t>
            </w:r>
          </w:p>
          <w:p w:rsidR="00000000" w:rsidRPr="001A0F63" w:rsidP="001A0F63">
            <w:pPr>
              <w:pStyle w:val="ListBullet"/>
            </w:pPr>
            <w:r w:rsidRPr="001A0F63">
              <w:t>listen to instructions to identify key safety information</w:t>
            </w:r>
          </w:p>
          <w:p w:rsidR="00000000" w:rsidRPr="001A0F63" w:rsidP="001A0F63">
            <w:pPr>
              <w:pStyle w:val="ListBullet"/>
            </w:pPr>
            <w:r w:rsidRPr="001A0F63">
              <w:t>tell another person about a construction problem or hazard.</w:t>
            </w:r>
          </w:p>
          <w:p w:rsidR="00000000" w:rsidP="001A0F63">
            <w:pPr>
              <w:pStyle w:val="BodyText"/>
              <w:rPr>
                <w:lang w:val="en-NZ"/>
              </w:rPr>
            </w:pPr>
          </w:p>
        </w:tc>
      </w:tr>
      <w:tr w:rsidTr="001A0F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Reading skills to:</w:t>
            </w:r>
          </w:p>
        </w:tc>
        <w:tc>
          <w:tcPr>
            <w:tcW w:w="6877" w:type="dxa"/>
            <w:tcBorders>
              <w:top w:val="nil"/>
              <w:left w:val="nil"/>
              <w:bottom w:val="nil"/>
              <w:right w:val="nil"/>
            </w:tcBorders>
            <w:tcMar>
              <w:top w:w="0" w:type="dxa"/>
              <w:left w:w="62" w:type="dxa"/>
              <w:bottom w:w="0" w:type="dxa"/>
              <w:right w:w="62" w:type="dxa"/>
            </w:tcMar>
          </w:tcPr>
          <w:p w:rsidR="00000000" w:rsidRPr="001A0F63" w:rsidP="001A0F63">
            <w:pPr>
              <w:pStyle w:val="ListBullet"/>
            </w:pPr>
            <w:r w:rsidRPr="001A0F63">
              <w:t>follow simple pictorial safety instructions</w:t>
            </w:r>
          </w:p>
          <w:p w:rsidR="00000000" w:rsidRPr="001A0F63" w:rsidP="001A0F63">
            <w:pPr>
              <w:pStyle w:val="ListBullet"/>
            </w:pPr>
            <w:r w:rsidRPr="001A0F63">
              <w:t>follow simple safety instructions that are written in English.</w:t>
            </w:r>
          </w:p>
          <w:p w:rsidR="00000000" w:rsidP="001A0F63">
            <w:pPr>
              <w:pStyle w:val="BodyText"/>
              <w:rPr>
                <w:lang w:val="en-NZ"/>
              </w:rPr>
            </w:pPr>
          </w:p>
        </w:tc>
      </w:tr>
      <w:tr w:rsidTr="001A0F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Problem</w:t>
            </w:r>
            <w:r w:rsidRPr="001A0F63">
              <w:t>-solving skills to:</w:t>
            </w:r>
          </w:p>
        </w:tc>
        <w:tc>
          <w:tcPr>
            <w:tcW w:w="6877" w:type="dxa"/>
            <w:tcBorders>
              <w:top w:val="nil"/>
              <w:left w:val="nil"/>
              <w:bottom w:val="nil"/>
              <w:right w:val="nil"/>
            </w:tcBorders>
            <w:tcMar>
              <w:top w:w="0" w:type="dxa"/>
              <w:left w:w="62" w:type="dxa"/>
              <w:bottom w:w="0" w:type="dxa"/>
              <w:right w:w="62" w:type="dxa"/>
            </w:tcMar>
          </w:tcPr>
          <w:p w:rsidR="00000000" w:rsidRPr="001A0F63" w:rsidP="001A0F63">
            <w:pPr>
              <w:pStyle w:val="ListBullet"/>
            </w:pPr>
            <w:r w:rsidRPr="001A0F63">
              <w:t>select risk control measures.</w:t>
            </w:r>
          </w:p>
        </w:tc>
      </w:tr>
    </w:tbl>
    <w:p w:rsidR="00000000" w:rsidRPr="001A0F63" w:rsidP="001A0F63">
      <w:pPr>
        <w:pStyle w:val="BodyText"/>
      </w:pPr>
    </w:p>
    <w:p w:rsidR="00000000" w:rsidRPr="001A0F63" w:rsidP="001A0F63">
      <w:pPr>
        <w:pStyle w:val="AllowPageBreak"/>
      </w:pPr>
    </w:p>
    <w:p w:rsidR="00000000" w:rsidRPr="001A0F63" w:rsidP="001A0F63">
      <w:pPr>
        <w:pStyle w:val="Heading1"/>
      </w:pPr>
      <w:bookmarkStart w:id="7" w:name="O_848458"/>
      <w:bookmarkEnd w:id="7"/>
      <w:r w:rsidRPr="001A0F63">
        <w:t>Range of Conditions</w:t>
      </w:r>
    </w:p>
    <w:tbl>
      <w:tblPr>
        <w:tblW w:w="0" w:type="auto"/>
        <w:tblLayout w:type="fixed"/>
        <w:tblCellMar>
          <w:left w:w="62" w:type="dxa"/>
          <w:right w:w="62" w:type="dxa"/>
        </w:tblCellMar>
        <w:tblLook w:val="0000"/>
      </w:tblPr>
      <w:tblGrid>
        <w:gridCol w:w="2364"/>
        <w:gridCol w:w="6708"/>
      </w:tblGrid>
      <w:tr w:rsidTr="001A0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 xml:space="preserve">This section specifies work environments and conditions that may affect performance. Essential operating conditions that may be present (depending on the work </w:t>
            </w:r>
            <w:r w:rsidRPr="001A0F63">
              <w:t>situation, needs of the candidate, accessibility of the item, and local industry and regional contexts) are included. Bold italicised wording, if used in the performance criteria, is detailed below.</w:t>
            </w:r>
          </w:p>
        </w:tc>
      </w:tr>
      <w:tr w:rsidTr="001A0F6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rPr>
                <w:rStyle w:val="BoldandItalics"/>
              </w:rPr>
              <w:t>Jurisdictional health and safety legislative requirements</w:t>
            </w:r>
            <w:r w:rsidRPr="001A0F63">
              <w:t xml:space="preserve"> must include at least one of the following state and territory Acts or their equivalent:</w:t>
            </w:r>
          </w:p>
        </w:tc>
        <w:tc>
          <w:tcPr>
            <w:tcW w:w="6708" w:type="dxa"/>
            <w:tcBorders>
              <w:top w:val="nil"/>
              <w:left w:val="nil"/>
              <w:bottom w:val="nil"/>
              <w:right w:val="nil"/>
            </w:tcBorders>
            <w:tcMar>
              <w:top w:w="0" w:type="dxa"/>
              <w:left w:w="62" w:type="dxa"/>
              <w:bottom w:w="0" w:type="dxa"/>
              <w:right w:w="62" w:type="dxa"/>
            </w:tcMar>
          </w:tcPr>
          <w:p w:rsidR="00000000" w:rsidRPr="001A0F63" w:rsidP="001A0F63">
            <w:pPr>
              <w:pStyle w:val="ListBullet"/>
            </w:pPr>
            <w:r w:rsidRPr="001A0F63">
              <w:t>Australian Capital Territory: Work Health and Safety Act 2011</w:t>
            </w:r>
          </w:p>
          <w:p w:rsidR="00000000" w:rsidRPr="001A0F63" w:rsidP="001A0F63">
            <w:pPr>
              <w:pStyle w:val="ListBullet"/>
            </w:pPr>
            <w:r w:rsidRPr="001A0F63">
              <w:t>New South Wales: Work Health and Safety Act 20</w:t>
            </w:r>
            <w:r w:rsidRPr="001A0F63">
              <w:t>11</w:t>
            </w:r>
          </w:p>
          <w:p w:rsidR="00000000" w:rsidRPr="001A0F63" w:rsidP="001A0F63">
            <w:pPr>
              <w:pStyle w:val="ListBullet"/>
            </w:pPr>
            <w:r w:rsidRPr="001A0F63">
              <w:t>Northern Territory: Work Health and Safety (National Uniform Legislation) Act 2011</w:t>
            </w:r>
          </w:p>
          <w:p w:rsidR="00000000" w:rsidRPr="001A0F63" w:rsidP="001A0F63">
            <w:pPr>
              <w:pStyle w:val="ListBullet"/>
            </w:pPr>
            <w:r w:rsidRPr="001A0F63">
              <w:t>Queensland: Work Health and Safety Act 2011</w:t>
            </w:r>
          </w:p>
          <w:p w:rsidR="00000000" w:rsidRPr="001A0F63" w:rsidP="001A0F63">
            <w:pPr>
              <w:pStyle w:val="ListBullet"/>
            </w:pPr>
            <w:r w:rsidRPr="001A0F63">
              <w:t>South Australia: Work Health and Safety Act 2012</w:t>
            </w:r>
          </w:p>
          <w:p w:rsidR="00000000" w:rsidRPr="001A0F63" w:rsidP="001A0F63">
            <w:pPr>
              <w:pStyle w:val="ListBullet"/>
            </w:pPr>
            <w:r w:rsidRPr="001A0F63">
              <w:t>Tasmania: Work Health and Safety Act 2012</w:t>
            </w:r>
          </w:p>
          <w:p w:rsidR="00000000" w:rsidRPr="001A0F63" w:rsidP="001A0F63">
            <w:pPr>
              <w:pStyle w:val="ListBullet"/>
            </w:pPr>
            <w:r w:rsidRPr="001A0F63">
              <w:t>Victoria: Occupational Health and S</w:t>
            </w:r>
            <w:r w:rsidRPr="001A0F63">
              <w:t>afety Act 2004</w:t>
            </w:r>
          </w:p>
          <w:p w:rsidR="00000000" w:rsidRPr="001A0F63" w:rsidP="001A0F63">
            <w:pPr>
              <w:pStyle w:val="ListBullet"/>
            </w:pPr>
            <w:r w:rsidRPr="001A0F63">
              <w:t>Western Australia: Occupational Safety and Health Act 1984.</w:t>
            </w:r>
          </w:p>
        </w:tc>
      </w:tr>
    </w:tbl>
    <w:p w:rsidR="00000000" w:rsidRPr="001A0F63" w:rsidP="001A0F63">
      <w:pPr>
        <w:pStyle w:val="BodyText"/>
      </w:pPr>
    </w:p>
    <w:p w:rsidR="00000000" w:rsidRPr="001A0F63" w:rsidP="001A0F63">
      <w:pPr>
        <w:pStyle w:val="AllowPageBreak"/>
      </w:pPr>
    </w:p>
    <w:p w:rsidR="00000000" w:rsidRPr="001A0F63" w:rsidP="001A0F63">
      <w:pPr>
        <w:pStyle w:val="Heading1"/>
      </w:pPr>
      <w:bookmarkStart w:id="8" w:name="O_848457"/>
      <w:bookmarkEnd w:id="8"/>
      <w:r w:rsidRPr="001A0F63">
        <w:t>Unit Mapping Information</w:t>
      </w:r>
    </w:p>
    <w:p w:rsidR="00000000" w:rsidRPr="001A0F63" w:rsidP="00D57D4B">
      <w:pPr>
        <w:pStyle w:val="BodyText"/>
      </w:pPr>
      <w:r w:rsidRPr="001A0F63">
        <w:t>Supersedes and is equivalent to CPCCOHS1001A Work safely in the construction industry</w:t>
      </w:r>
    </w:p>
    <w:p w:rsidR="00000000" w:rsidRPr="001A0F63" w:rsidP="001A0F63">
      <w:pPr>
        <w:pStyle w:val="Heading1"/>
      </w:pPr>
      <w:bookmarkStart w:id="9" w:name="O_848450"/>
      <w:bookmarkEnd w:id="9"/>
      <w:r w:rsidRPr="001A0F63">
        <w:t>Links</w:t>
      </w:r>
    </w:p>
    <w:p w:rsidR="00000000" w:rsidRPr="001A0F63" w:rsidP="00D57D4B">
      <w:pPr>
        <w:pStyle w:val="BodyText"/>
      </w:pPr>
      <w:r w:rsidRPr="001A0F6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B11DB">
        <w:rPr>
          <w:rStyle w:val="Hyperlink"/>
        </w:rPr>
        <w:t>https://vetnet.gov.au/Pages/TrainingDocs.aspx?q=7e15fa6a-68b8-4097-b099-030a5569b1ad</w:t>
      </w:r>
      <w:r>
        <w:fldChar w:fldCharType="end"/>
      </w:r>
    </w:p>
    <w:p w:rsidR="00000000" w:rsidRPr="001A0F63" w:rsidP="00D57D4B">
      <w:pPr>
        <w:pStyle w:val="BodyText"/>
        <w:sectPr w:rsidSect="001A0F63">
          <w:headerReference w:type="default" r:id="rId10"/>
          <w:footerReference w:type="default" r:id="rId11"/>
          <w:pgSz w:w="11908" w:h="16833"/>
          <w:pgMar w:top="1702" w:right="1418" w:bottom="1702" w:left="1418" w:header="992" w:footer="992" w:gutter="0"/>
          <w:cols w:space="720"/>
          <w:noEndnote/>
          <w:docGrid w:linePitch="299"/>
        </w:sectPr>
      </w:pPr>
    </w:p>
    <w:p w:rsidR="00000000" w:rsidRPr="001A0F63" w:rsidP="001A0F63">
      <w:pPr>
        <w:pStyle w:val="SuperHeading"/>
      </w:pPr>
      <w:r w:rsidRPr="001A0F63">
        <w:t xml:space="preserve">Assessment Requirements for CPCCWHS1001 Prepare to work safely </w:t>
      </w:r>
      <w:r w:rsidRPr="001A0F63">
        <w:t>in the construction industry</w:t>
      </w:r>
    </w:p>
    <w:p w:rsidR="00000000" w:rsidRPr="001A0F63" w:rsidP="001A0F63">
      <w:pPr>
        <w:pStyle w:val="Heading1"/>
      </w:pPr>
      <w:bookmarkStart w:id="10" w:name="O_848452"/>
      <w:bookmarkEnd w:id="10"/>
      <w:r w:rsidRPr="001A0F63">
        <w:t>Modification History</w:t>
      </w:r>
    </w:p>
    <w:tbl>
      <w:tblPr>
        <w:tblW w:w="0" w:type="auto"/>
        <w:tblCellMar>
          <w:left w:w="62" w:type="dxa"/>
          <w:right w:w="62" w:type="dxa"/>
        </w:tblCellMar>
        <w:tblLook w:val="0000"/>
      </w:tblPr>
      <w:tblGrid>
        <w:gridCol w:w="4598"/>
        <w:gridCol w:w="4598"/>
      </w:tblGrid>
      <w:tr w:rsidTr="00D57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Release</w:t>
            </w:r>
          </w:p>
        </w:tc>
        <w:tc>
          <w:tcPr>
            <w:tcW w:w="0" w:type="auto"/>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Comment</w:t>
            </w:r>
          </w:p>
        </w:tc>
      </w:tr>
      <w:tr w:rsidTr="00D57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0F63">
            <w:pPr>
              <w:pStyle w:val="BodyText"/>
              <w:rPr>
                <w:lang w:val="en-NZ"/>
              </w:rPr>
            </w:pPr>
            <w:r w:rsidRPr="001A0F63">
              <w:t>Version 1</w:t>
            </w:r>
          </w:p>
        </w:tc>
        <w:tc>
          <w:tcPr>
            <w:tcW w:w="0" w:type="auto"/>
            <w:tcBorders>
              <w:top w:val="nil"/>
              <w:left w:val="nil"/>
              <w:bottom w:val="nil"/>
              <w:right w:val="nil"/>
            </w:tcBorders>
            <w:tcMar>
              <w:top w:w="0" w:type="dxa"/>
              <w:left w:w="62" w:type="dxa"/>
              <w:bottom w:w="0" w:type="dxa"/>
              <w:right w:w="62" w:type="dxa"/>
            </w:tcMar>
          </w:tcPr>
          <w:p w:rsidR="00000000" w:rsidRPr="001A0F63" w:rsidP="001A0F63">
            <w:pPr>
              <w:pStyle w:val="BodyText"/>
            </w:pPr>
            <w:r w:rsidRPr="001A0F63">
              <w:t>Replaces superseded equivalent CPCCOHS1001A Work safely in the construction industry.</w:t>
            </w:r>
          </w:p>
        </w:tc>
      </w:tr>
    </w:tbl>
    <w:p w:rsidR="00000000" w:rsidRPr="001A0F63" w:rsidP="001A0F63">
      <w:pPr>
        <w:pStyle w:val="BodyText"/>
      </w:pPr>
    </w:p>
    <w:p w:rsidR="00000000" w:rsidRPr="001A0F63" w:rsidP="001A0F63">
      <w:pPr>
        <w:pStyle w:val="AllowPageBreak"/>
      </w:pPr>
    </w:p>
    <w:p w:rsidR="00000000" w:rsidRPr="001A0F63" w:rsidP="001A0F63">
      <w:pPr>
        <w:pStyle w:val="Heading1"/>
      </w:pPr>
      <w:bookmarkStart w:id="11" w:name="O_848455"/>
      <w:bookmarkEnd w:id="11"/>
      <w:r w:rsidRPr="001A0F63">
        <w:t>Performance Evidence</w:t>
      </w:r>
    </w:p>
    <w:p w:rsidR="00000000" w:rsidRPr="001A0F63" w:rsidP="00D57D4B">
      <w:pPr>
        <w:pStyle w:val="BodyText"/>
      </w:pPr>
      <w:r w:rsidRPr="001A0F63">
        <w:t>A person demonstrating competency in this unit must satisfy the requirements of the elements, performance criteria, foundation skills, and range of conditions of this unit, in addition to the specific performance and knowledge evidence described below.</w:t>
      </w:r>
    </w:p>
    <w:p w:rsidR="00000000" w:rsidRPr="001A0F63" w:rsidP="00D57D4B">
      <w:pPr>
        <w:pStyle w:val="BodyText"/>
      </w:pPr>
      <w:r w:rsidRPr="001A0F63">
        <w:t>Th</w:t>
      </w:r>
      <w:r w:rsidRPr="001A0F63">
        <w:t>e person must:</w:t>
      </w:r>
    </w:p>
    <w:p w:rsidR="00000000" w:rsidRPr="001A0F63" w:rsidP="001A0F63">
      <w:pPr>
        <w:pStyle w:val="ListBullet"/>
      </w:pPr>
      <w:r w:rsidRPr="001A0F63">
        <w:t>identify and orally report two construction hazards</w:t>
      </w:r>
    </w:p>
    <w:p w:rsidR="00000000" w:rsidRPr="001A0F63" w:rsidP="001A0F63">
      <w:pPr>
        <w:pStyle w:val="ListBullet"/>
      </w:pPr>
      <w:r w:rsidRPr="001A0F63">
        <w:t>orally explain how risk could be reduced or removed in relation to those two hazards</w:t>
      </w:r>
    </w:p>
    <w:p w:rsidR="00000000" w:rsidRPr="001A0F63" w:rsidP="001A0F63">
      <w:pPr>
        <w:pStyle w:val="ListBullet"/>
      </w:pPr>
      <w:r w:rsidRPr="001A0F63">
        <w:t>select appropriate personal protective equipment (PPE) to control the risk</w:t>
      </w:r>
    </w:p>
    <w:p w:rsidR="00000000" w:rsidRPr="001A0F63" w:rsidP="001A0F63">
      <w:pPr>
        <w:pStyle w:val="ListBullet"/>
      </w:pPr>
      <w:r w:rsidRPr="001A0F63">
        <w:t>orally explain basic procedu</w:t>
      </w:r>
      <w:r w:rsidRPr="001A0F63">
        <w:t>res for responding to incidents and emergencies, including types and purpose of the following fire safety equipment:</w:t>
      </w:r>
    </w:p>
    <w:p w:rsidR="00000000" w:rsidRPr="001A0F63" w:rsidP="001A0F63">
      <w:pPr>
        <w:pStyle w:val="ListBullet2"/>
      </w:pPr>
      <w:r w:rsidRPr="001A0F63">
        <w:t>fire blankets</w:t>
      </w:r>
    </w:p>
    <w:p w:rsidR="00000000" w:rsidRPr="001A0F63" w:rsidP="001A0F63">
      <w:pPr>
        <w:pStyle w:val="ListBullet2"/>
      </w:pPr>
      <w:r w:rsidRPr="001A0F63">
        <w:t>fire extinguishers, including water, carbon dioxide, powder and foam</w:t>
      </w:r>
    </w:p>
    <w:p w:rsidR="00000000" w:rsidRPr="001A0F63" w:rsidP="001A0F63">
      <w:pPr>
        <w:pStyle w:val="ListBullet2"/>
      </w:pPr>
      <w:r w:rsidRPr="001A0F63">
        <w:t>hose reels and mains</w:t>
      </w:r>
    </w:p>
    <w:p w:rsidR="00000000" w:rsidRPr="001A0F63" w:rsidP="001A0F63">
      <w:pPr>
        <w:pStyle w:val="ListBullet"/>
      </w:pPr>
      <w:r w:rsidRPr="001A0F63">
        <w:t>identify and orally explain the meaning of required safety signs and symbols</w:t>
      </w:r>
    </w:p>
    <w:p w:rsidR="00000000" w:rsidRPr="001A0F63" w:rsidP="001A0F63">
      <w:pPr>
        <w:pStyle w:val="ListBullet"/>
      </w:pPr>
      <w:r w:rsidRPr="001A0F63">
        <w:t>orally explain the purpose of job safety analyses (JSAs), safe work method statements (SWMS) and safety data sheets (SDS)</w:t>
      </w:r>
    </w:p>
    <w:p w:rsidR="00000000" w:rsidRPr="001A0F63" w:rsidP="001A0F63">
      <w:pPr>
        <w:pStyle w:val="ListBullet"/>
      </w:pPr>
      <w:r w:rsidRPr="001A0F63">
        <w:t>orally explain the roles of the following designated heal</w:t>
      </w:r>
      <w:r w:rsidRPr="001A0F63">
        <w:t>th and safety personnel:</w:t>
      </w:r>
    </w:p>
    <w:p w:rsidR="00000000" w:rsidRPr="001A0F63" w:rsidP="001A0F63">
      <w:pPr>
        <w:pStyle w:val="ListBullet2"/>
      </w:pPr>
      <w:r w:rsidRPr="001A0F63">
        <w:t>first aid officers</w:t>
      </w:r>
    </w:p>
    <w:p w:rsidR="00000000" w:rsidRPr="001A0F63" w:rsidP="001A0F63">
      <w:pPr>
        <w:pStyle w:val="ListBullet2"/>
      </w:pPr>
      <w:r w:rsidRPr="001A0F63">
        <w:t>work health and safety representatives</w:t>
      </w:r>
    </w:p>
    <w:p w:rsidR="00000000" w:rsidRPr="001A0F63" w:rsidP="001A0F63">
      <w:pPr>
        <w:pStyle w:val="ListBullet2"/>
      </w:pPr>
      <w:r w:rsidRPr="001A0F63">
        <w:t>work health and safety committee members</w:t>
      </w:r>
    </w:p>
    <w:p w:rsidR="00000000" w:rsidRPr="001A0F63" w:rsidP="001A0F63">
      <w:pPr>
        <w:pStyle w:val="ListBullet2"/>
      </w:pPr>
      <w:r w:rsidRPr="001A0F63">
        <w:t>supervisors.</w:t>
      </w:r>
    </w:p>
    <w:p w:rsidR="00000000" w:rsidRPr="001A0F63" w:rsidP="001A0F63">
      <w:pPr>
        <w:pStyle w:val="BodyText"/>
      </w:pPr>
    </w:p>
    <w:p w:rsidR="00000000" w:rsidRPr="001A0F63" w:rsidP="00D57D4B">
      <w:pPr>
        <w:pStyle w:val="BodyText"/>
      </w:pPr>
      <w:r w:rsidRPr="001A0F63">
        <w:t>The person must also demonstrate correctly fitting to themselves the PPE listed below:</w:t>
      </w:r>
    </w:p>
    <w:p w:rsidR="00000000" w:rsidRPr="001A0F63" w:rsidP="001A0F63">
      <w:pPr>
        <w:pStyle w:val="ListBullet"/>
      </w:pPr>
      <w:r w:rsidRPr="001A0F63">
        <w:t>eye protection</w:t>
      </w:r>
    </w:p>
    <w:p w:rsidR="00000000" w:rsidRPr="001A0F63" w:rsidP="001A0F63">
      <w:pPr>
        <w:pStyle w:val="ListBullet"/>
      </w:pPr>
      <w:r w:rsidRPr="001A0F63">
        <w:t>hearing protection</w:t>
      </w:r>
    </w:p>
    <w:p w:rsidR="00000000" w:rsidRPr="001A0F63" w:rsidP="001A0F63">
      <w:pPr>
        <w:pStyle w:val="ListBullet"/>
      </w:pPr>
      <w:r w:rsidRPr="001A0F63">
        <w:t>hard hat</w:t>
      </w:r>
    </w:p>
    <w:p w:rsidR="00000000" w:rsidRPr="001A0F63" w:rsidP="001A0F63">
      <w:pPr>
        <w:pStyle w:val="ListBullet"/>
      </w:pPr>
      <w:r w:rsidRPr="001A0F63">
        <w:t>high visibility retro reflective vest.</w:t>
      </w:r>
    </w:p>
    <w:p w:rsidR="00000000" w:rsidRPr="001A0F63" w:rsidP="001A0F63">
      <w:pPr>
        <w:pStyle w:val="AllowPageBreak"/>
      </w:pPr>
    </w:p>
    <w:p w:rsidR="00000000" w:rsidRPr="001A0F63" w:rsidP="001A0F63">
      <w:pPr>
        <w:pStyle w:val="Heading1"/>
      </w:pPr>
      <w:bookmarkStart w:id="12" w:name="O_848454"/>
      <w:bookmarkEnd w:id="12"/>
      <w:r w:rsidRPr="001A0F63">
        <w:t>Knowledge Evidence</w:t>
      </w:r>
    </w:p>
    <w:p w:rsidR="00000000" w:rsidRPr="001A0F63" w:rsidP="00D57D4B">
      <w:pPr>
        <w:pStyle w:val="BodyText"/>
      </w:pPr>
      <w:r w:rsidRPr="001A0F63">
        <w:t>A person must demonstrate knowledge of:</w:t>
      </w:r>
    </w:p>
    <w:p w:rsidR="00000000" w:rsidRPr="001A0F63" w:rsidP="001A0F63">
      <w:pPr>
        <w:pStyle w:val="ListBullet"/>
      </w:pPr>
      <w:r w:rsidRPr="001A0F63">
        <w:t xml:space="preserve">basic duty of care, and the roles, rights and responsibilities of business owners and workers in relation </w:t>
      </w:r>
      <w:r w:rsidRPr="001A0F63">
        <w:t>to working safely while undertaking construction work</w:t>
      </w:r>
    </w:p>
    <w:p w:rsidR="00000000" w:rsidRPr="001A0F63" w:rsidP="001A0F63">
      <w:pPr>
        <w:pStyle w:val="ListBullet"/>
      </w:pPr>
      <w:r w:rsidRPr="001A0F63">
        <w:t>basic meaning of the terms ‘hazard’ and ‘risk’</w:t>
      </w:r>
    </w:p>
    <w:p w:rsidR="00000000" w:rsidRPr="001A0F63" w:rsidP="001A0F63">
      <w:pPr>
        <w:pStyle w:val="ListBullet"/>
      </w:pPr>
      <w:r w:rsidRPr="001A0F63">
        <w:t xml:space="preserve">basic principles of risk management, including the following five steps in order: </w:t>
      </w:r>
    </w:p>
    <w:p w:rsidR="00000000" w:rsidRPr="001A0F63" w:rsidP="001A0F63">
      <w:pPr>
        <w:pStyle w:val="ListBullet2"/>
      </w:pPr>
      <w:r w:rsidRPr="001A0F63">
        <w:t>identify hazard</w:t>
      </w:r>
    </w:p>
    <w:p w:rsidR="00000000" w:rsidRPr="001A0F63" w:rsidP="001A0F63">
      <w:pPr>
        <w:pStyle w:val="ListBullet2"/>
      </w:pPr>
      <w:r w:rsidRPr="001A0F63">
        <w:t>assess risk</w:t>
      </w:r>
    </w:p>
    <w:p w:rsidR="00000000" w:rsidRPr="001A0F63" w:rsidP="001A0F63">
      <w:pPr>
        <w:pStyle w:val="ListBullet2"/>
      </w:pPr>
      <w:r w:rsidRPr="001A0F63">
        <w:t>consult and report</w:t>
      </w:r>
    </w:p>
    <w:p w:rsidR="00000000" w:rsidRPr="001A0F63" w:rsidP="001A0F63">
      <w:pPr>
        <w:pStyle w:val="ListBullet2"/>
      </w:pPr>
      <w:r w:rsidRPr="001A0F63">
        <w:t>control hazard</w:t>
      </w:r>
    </w:p>
    <w:p w:rsidR="00000000" w:rsidRPr="001A0F63" w:rsidP="001A0F63">
      <w:pPr>
        <w:pStyle w:val="ListBullet2"/>
      </w:pPr>
      <w:r w:rsidRPr="001A0F63">
        <w:t>review</w:t>
      </w:r>
    </w:p>
    <w:p w:rsidR="00000000" w:rsidRPr="001A0F63" w:rsidP="001A0F63">
      <w:pPr>
        <w:pStyle w:val="ListBullet"/>
      </w:pPr>
      <w:r w:rsidRPr="001A0F63">
        <w:t>basic procedures for accessing first aid</w:t>
      </w:r>
    </w:p>
    <w:p w:rsidR="00000000" w:rsidRPr="001A0F63" w:rsidP="001A0F63">
      <w:pPr>
        <w:pStyle w:val="ListBullet"/>
      </w:pPr>
      <w:r w:rsidRPr="001A0F63">
        <w:t>construction hazards, including those relating to:</w:t>
      </w:r>
    </w:p>
    <w:p w:rsidR="00000000" w:rsidRPr="001A0F63" w:rsidP="001A0F63">
      <w:pPr>
        <w:pStyle w:val="ListBullet2"/>
      </w:pPr>
      <w:r w:rsidRPr="001A0F63">
        <w:t>asbestos</w:t>
      </w:r>
    </w:p>
    <w:p w:rsidR="00000000" w:rsidRPr="001A0F63" w:rsidP="001A0F63">
      <w:pPr>
        <w:pStyle w:val="ListBullet2"/>
      </w:pPr>
      <w:r w:rsidRPr="001A0F63">
        <w:t>confined spaces</w:t>
      </w:r>
    </w:p>
    <w:p w:rsidR="00000000" w:rsidRPr="001A0F63" w:rsidP="001A0F63">
      <w:pPr>
        <w:pStyle w:val="ListBullet2"/>
      </w:pPr>
      <w:r w:rsidRPr="001A0F63">
        <w:t>electrical: power lines, cords and equipment</w:t>
      </w:r>
    </w:p>
    <w:p w:rsidR="00000000" w:rsidRPr="001A0F63" w:rsidP="001A0F63">
      <w:pPr>
        <w:pStyle w:val="ListBullet2"/>
      </w:pPr>
      <w:r w:rsidRPr="001A0F63">
        <w:t>excavations and trenches, including underground services</w:t>
      </w:r>
    </w:p>
    <w:p w:rsidR="00000000" w:rsidRPr="001A0F63" w:rsidP="001A0F63">
      <w:pPr>
        <w:pStyle w:val="ListBullet2"/>
      </w:pPr>
      <w:r w:rsidRPr="001A0F63">
        <w:t>dust</w:t>
      </w:r>
    </w:p>
    <w:p w:rsidR="00000000" w:rsidRPr="001A0F63" w:rsidP="001A0F63">
      <w:pPr>
        <w:pStyle w:val="ListBullet2"/>
      </w:pPr>
      <w:r w:rsidRPr="001A0F63">
        <w:t>falling objects</w:t>
      </w:r>
    </w:p>
    <w:p w:rsidR="00000000" w:rsidRPr="001A0F63" w:rsidP="001A0F63">
      <w:pPr>
        <w:pStyle w:val="ListBullet2"/>
      </w:pPr>
      <w:r w:rsidRPr="001A0F63">
        <w:t>hazardous subst</w:t>
      </w:r>
      <w:r w:rsidRPr="001A0F63">
        <w:t>ances and dangerous goods</w:t>
      </w:r>
    </w:p>
    <w:p w:rsidR="00000000" w:rsidRPr="001A0F63" w:rsidP="001A0F63">
      <w:pPr>
        <w:pStyle w:val="ListBullet2"/>
      </w:pPr>
      <w:r w:rsidRPr="001A0F63">
        <w:t>hot and cold work environments</w:t>
      </w:r>
    </w:p>
    <w:p w:rsidR="00000000" w:rsidRPr="001A0F63" w:rsidP="001A0F63">
      <w:pPr>
        <w:pStyle w:val="ListBullet2"/>
      </w:pPr>
      <w:r w:rsidRPr="001A0F63">
        <w:t>manual handling</w:t>
      </w:r>
    </w:p>
    <w:p w:rsidR="00000000" w:rsidRPr="001A0F63" w:rsidP="001A0F63">
      <w:pPr>
        <w:pStyle w:val="ListBullet2"/>
      </w:pPr>
      <w:r w:rsidRPr="001A0F63">
        <w:t>noise</w:t>
      </w:r>
    </w:p>
    <w:p w:rsidR="00000000" w:rsidRPr="001A0F63" w:rsidP="001A0F63">
      <w:pPr>
        <w:pStyle w:val="ListBullet2"/>
      </w:pPr>
      <w:r w:rsidRPr="001A0F63">
        <w:t>plant and equipment operation</w:t>
      </w:r>
    </w:p>
    <w:p w:rsidR="00000000" w:rsidRPr="001A0F63" w:rsidP="001A0F63">
      <w:pPr>
        <w:pStyle w:val="ListBullet2"/>
      </w:pPr>
      <w:r w:rsidRPr="001A0F63">
        <w:t>traffic and mobile plant</w:t>
      </w:r>
    </w:p>
    <w:p w:rsidR="00000000" w:rsidRPr="001A0F63" w:rsidP="001A0F63">
      <w:pPr>
        <w:pStyle w:val="ListBullet2"/>
      </w:pPr>
      <w:r w:rsidRPr="001A0F63">
        <w:t>unplanned collapse</w:t>
      </w:r>
    </w:p>
    <w:p w:rsidR="00000000" w:rsidRPr="001A0F63" w:rsidP="001A0F63">
      <w:pPr>
        <w:pStyle w:val="ListBullet2"/>
      </w:pPr>
      <w:r w:rsidRPr="001A0F63">
        <w:t>ultraviolet radiation</w:t>
      </w:r>
    </w:p>
    <w:p w:rsidR="00000000" w:rsidRPr="001A0F63" w:rsidP="001A0F63">
      <w:pPr>
        <w:pStyle w:val="ListBullet2"/>
      </w:pPr>
      <w:r w:rsidRPr="001A0F63">
        <w:t>working at heights, including scaffolding</w:t>
      </w:r>
    </w:p>
    <w:p w:rsidR="00000000" w:rsidRPr="001A0F63" w:rsidP="001A0F63">
      <w:pPr>
        <w:pStyle w:val="ListBullet"/>
      </w:pPr>
      <w:r w:rsidRPr="001A0F63">
        <w:t>construction work that requires a high risk work licence</w:t>
      </w:r>
    </w:p>
    <w:p w:rsidR="00000000" w:rsidRPr="001A0F63" w:rsidP="001A0F63">
      <w:pPr>
        <w:pStyle w:val="ListBullet"/>
      </w:pPr>
      <w:r w:rsidRPr="001A0F63">
        <w:t>types, purpose and use of PPE used in construction, as specified in the performance evidence, and including safety footwear, harnesses and respiratory protection, and ultraviolet (UV) protective clot</w:t>
      </w:r>
      <w:r w:rsidRPr="001A0F63">
        <w:t>hing and sunscreen</w:t>
      </w:r>
    </w:p>
    <w:p w:rsidR="00000000" w:rsidRPr="001A0F63" w:rsidP="001A0F63">
      <w:pPr>
        <w:pStyle w:val="ListBullet"/>
      </w:pPr>
      <w:r w:rsidRPr="001A0F63">
        <w:t>construction emergencies, including:</w:t>
      </w:r>
    </w:p>
    <w:p w:rsidR="00000000" w:rsidRPr="001A0F63" w:rsidP="001A0F63">
      <w:pPr>
        <w:pStyle w:val="ListBullet2"/>
      </w:pPr>
      <w:r w:rsidRPr="001A0F63">
        <w:t>chemical spill</w:t>
      </w:r>
    </w:p>
    <w:p w:rsidR="00000000" w:rsidRPr="001A0F63" w:rsidP="001A0F63">
      <w:pPr>
        <w:pStyle w:val="ListBullet2"/>
      </w:pPr>
      <w:r w:rsidRPr="001A0F63">
        <w:t>fire</w:t>
      </w:r>
    </w:p>
    <w:p w:rsidR="00000000" w:rsidRPr="001A0F63" w:rsidP="001A0F63">
      <w:pPr>
        <w:pStyle w:val="ListBullet2"/>
      </w:pPr>
      <w:r w:rsidRPr="001A0F63">
        <w:t>injury to personnel</w:t>
      </w:r>
    </w:p>
    <w:p w:rsidR="00000000" w:rsidRPr="001A0F63" w:rsidP="001A0F63">
      <w:pPr>
        <w:pStyle w:val="ListBullet2"/>
      </w:pPr>
      <w:r w:rsidRPr="001A0F63">
        <w:t>structural collapse</w:t>
      </w:r>
    </w:p>
    <w:p w:rsidR="00000000" w:rsidRPr="001A0F63" w:rsidP="001A0F63">
      <w:pPr>
        <w:pStyle w:val="ListBullet2"/>
      </w:pPr>
      <w:r w:rsidRPr="001A0F63">
        <w:t>toxic or flammable vapour emission</w:t>
      </w:r>
    </w:p>
    <w:p w:rsidR="00000000" w:rsidRPr="001A0F63" w:rsidP="001A0F63">
      <w:pPr>
        <w:pStyle w:val="ListBullet2"/>
      </w:pPr>
      <w:r w:rsidRPr="001A0F63">
        <w:t>vehicle or mobile plant accident</w:t>
      </w:r>
    </w:p>
    <w:p w:rsidR="00000000" w:rsidRPr="001A0F63" w:rsidP="001A0F63">
      <w:pPr>
        <w:pStyle w:val="ListBullet"/>
      </w:pPr>
      <w:r w:rsidRPr="001A0F63">
        <w:t>construction incidents, including:</w:t>
      </w:r>
    </w:p>
    <w:p w:rsidR="00000000" w:rsidRPr="001A0F63" w:rsidP="001A0F63">
      <w:pPr>
        <w:pStyle w:val="ListBullet2"/>
      </w:pPr>
      <w:r w:rsidRPr="001A0F63">
        <w:t xml:space="preserve">incidents resulting in personal </w:t>
      </w:r>
      <w:r w:rsidRPr="001A0F63">
        <w:t>injury or damage to property</w:t>
      </w:r>
    </w:p>
    <w:p w:rsidR="00000000" w:rsidRPr="001A0F63" w:rsidP="001A0F63">
      <w:pPr>
        <w:pStyle w:val="ListBullet2"/>
      </w:pPr>
      <w:r w:rsidRPr="001A0F63">
        <w:t>near misses or dangerous occurrences that do not cause injury but may pose an immediate and significant risk to persons or property, and need to be reported so that action can be taken to prevent recurrence</w:t>
      </w:r>
    </w:p>
    <w:p w:rsidR="00000000" w:rsidRPr="001A0F63" w:rsidP="001A0F63">
      <w:pPr>
        <w:pStyle w:val="ListBullet"/>
      </w:pPr>
      <w:r w:rsidRPr="001A0F63">
        <w:t>safe work practices</w:t>
      </w:r>
      <w:r w:rsidRPr="001A0F63">
        <w:t xml:space="preserve"> that should be followed in construction work, including:</w:t>
      </w:r>
    </w:p>
    <w:p w:rsidR="00000000" w:rsidRPr="001A0F63" w:rsidP="001A0F63">
      <w:pPr>
        <w:pStyle w:val="ListBullet2"/>
      </w:pPr>
      <w:r w:rsidRPr="001A0F63">
        <w:t>accessing and using site amenities for drinking water, hand washing and toilets</w:t>
      </w:r>
    </w:p>
    <w:p w:rsidR="00000000" w:rsidRPr="001A0F63" w:rsidP="001A0F63">
      <w:pPr>
        <w:pStyle w:val="ListBullet2"/>
      </w:pPr>
      <w:r w:rsidRPr="001A0F63">
        <w:t>following safety procedures when performing work tasks and using equipment</w:t>
      </w:r>
    </w:p>
    <w:p w:rsidR="00000000" w:rsidRPr="001A0F63" w:rsidP="001A0F63">
      <w:pPr>
        <w:pStyle w:val="ListBullet2"/>
      </w:pPr>
      <w:r w:rsidRPr="001A0F63">
        <w:t>identifying and reporting hazards, inciden</w:t>
      </w:r>
      <w:r w:rsidRPr="001A0F63">
        <w:t>ts and injuries in the workplace</w:t>
      </w:r>
    </w:p>
    <w:p w:rsidR="00000000" w:rsidRPr="001A0F63" w:rsidP="001A0F63">
      <w:pPr>
        <w:pStyle w:val="ListBullet2"/>
      </w:pPr>
      <w:r w:rsidRPr="001A0F63">
        <w:t>keeping the work area clean, tidy and free from debris</w:t>
      </w:r>
    </w:p>
    <w:p w:rsidR="00000000" w:rsidRPr="001A0F63" w:rsidP="001A0F63">
      <w:pPr>
        <w:pStyle w:val="ListBullet2"/>
      </w:pPr>
      <w:r w:rsidRPr="001A0F63">
        <w:t>not using or being affected by drugs and/or alcohol while at work</w:t>
      </w:r>
    </w:p>
    <w:p w:rsidR="00000000" w:rsidRPr="001A0F63" w:rsidP="001A0F63">
      <w:pPr>
        <w:pStyle w:val="ListBullet2"/>
      </w:pPr>
      <w:r w:rsidRPr="001A0F63">
        <w:t>preventing bullying and harassment in the workplace</w:t>
      </w:r>
    </w:p>
    <w:p w:rsidR="00000000" w:rsidRPr="001A0F63" w:rsidP="001A0F63">
      <w:pPr>
        <w:pStyle w:val="ListBullet2"/>
      </w:pPr>
      <w:r w:rsidRPr="001A0F63">
        <w:t>selecting and using required PPE</w:t>
      </w:r>
    </w:p>
    <w:p w:rsidR="00000000" w:rsidRPr="001A0F63" w:rsidP="001A0F63">
      <w:pPr>
        <w:pStyle w:val="ListBullet2"/>
      </w:pPr>
      <w:r w:rsidRPr="001A0F63">
        <w:t>smoking only in designated areas</w:t>
      </w:r>
    </w:p>
    <w:p w:rsidR="00000000" w:rsidRPr="001A0F63" w:rsidP="001A0F63">
      <w:pPr>
        <w:pStyle w:val="ListBullet2"/>
      </w:pPr>
      <w:r w:rsidRPr="001A0F63">
        <w:t>storing and removing waste and debris in designated areas</w:t>
      </w:r>
    </w:p>
    <w:p w:rsidR="00000000" w:rsidRPr="001A0F63" w:rsidP="001A0F63">
      <w:pPr>
        <w:pStyle w:val="ListBullet"/>
      </w:pPr>
      <w:r w:rsidRPr="001A0F63">
        <w:t>meanings and symbols associated with construction safety signs, symbols and tags, including:</w:t>
      </w:r>
    </w:p>
    <w:p w:rsidR="00000000" w:rsidRPr="001A0F63" w:rsidP="001A0F63">
      <w:pPr>
        <w:pStyle w:val="ListBullet2"/>
      </w:pPr>
      <w:r w:rsidRPr="001A0F63">
        <w:t>emergency information signs: exits, emergency equipment and first aid</w:t>
      </w:r>
    </w:p>
    <w:p w:rsidR="00000000" w:rsidRPr="001A0F63" w:rsidP="001A0F63">
      <w:pPr>
        <w:pStyle w:val="ListBullet2"/>
      </w:pPr>
      <w:r w:rsidRPr="001A0F63">
        <w:t>fire signs: location of fire alarms and firefighting equipment</w:t>
      </w:r>
    </w:p>
    <w:p w:rsidR="00000000" w:rsidRPr="001A0F63" w:rsidP="001A0F63">
      <w:pPr>
        <w:pStyle w:val="ListBullet2"/>
      </w:pPr>
      <w:r w:rsidRPr="001A0F63">
        <w:t>hazard signs and symbols: danger and warning</w:t>
      </w:r>
    </w:p>
    <w:p w:rsidR="00000000" w:rsidRPr="001A0F63" w:rsidP="001A0F63">
      <w:pPr>
        <w:pStyle w:val="ListBullet2"/>
      </w:pPr>
      <w:r w:rsidRPr="001A0F63">
        <w:t>regulatory signs and symbols: prohibition, mandatory and limitation or restriction</w:t>
      </w:r>
    </w:p>
    <w:p w:rsidR="00000000" w:rsidRPr="001A0F63" w:rsidP="001A0F63">
      <w:pPr>
        <w:pStyle w:val="ListBullet2"/>
      </w:pPr>
      <w:r w:rsidRPr="001A0F63">
        <w:t>safety and lockout tags: danger and out-of-service tags.</w:t>
      </w:r>
    </w:p>
    <w:p w:rsidR="00000000" w:rsidRPr="001A0F63" w:rsidP="001A0F63">
      <w:pPr>
        <w:pStyle w:val="AllowPageBreak"/>
      </w:pPr>
    </w:p>
    <w:p w:rsidR="00000000" w:rsidRPr="001A0F63" w:rsidP="001A0F63">
      <w:pPr>
        <w:pStyle w:val="Heading1"/>
      </w:pPr>
      <w:bookmarkStart w:id="13" w:name="O_848453"/>
      <w:bookmarkEnd w:id="13"/>
      <w:r w:rsidRPr="001A0F63">
        <w:t>Assessment Conditions</w:t>
      </w:r>
    </w:p>
    <w:p w:rsidR="00000000" w:rsidRPr="001A0F63" w:rsidP="00D57D4B">
      <w:pPr>
        <w:pStyle w:val="BodyText"/>
      </w:pPr>
      <w:r w:rsidRPr="001A0F63">
        <w:t>The following must be present and available to learners during assessment activities:</w:t>
      </w:r>
    </w:p>
    <w:p w:rsidR="00000000" w:rsidRPr="001A0F63" w:rsidP="001A0F63">
      <w:pPr>
        <w:pStyle w:val="ListBullet"/>
      </w:pPr>
      <w:r w:rsidRPr="001A0F63">
        <w:t>equipment:</w:t>
      </w:r>
    </w:p>
    <w:p w:rsidR="00000000" w:rsidRPr="001A0F63" w:rsidP="001A0F63">
      <w:pPr>
        <w:pStyle w:val="ListBullet2"/>
      </w:pPr>
      <w:r w:rsidRPr="001A0F63">
        <w:t>all of the PPE listed in the performance evidence</w:t>
      </w:r>
    </w:p>
    <w:p w:rsidR="00000000" w:rsidRPr="001A0F63" w:rsidP="001A0F63">
      <w:pPr>
        <w:pStyle w:val="ListBullet"/>
      </w:pPr>
      <w:r w:rsidRPr="001A0F63">
        <w:t>specifications:</w:t>
      </w:r>
    </w:p>
    <w:p w:rsidR="00000000" w:rsidRPr="001A0F63" w:rsidP="001A0F63">
      <w:pPr>
        <w:pStyle w:val="ListBullet2"/>
      </w:pPr>
      <w:r w:rsidRPr="001A0F63">
        <w:t>state or territory Act relevant to the location of the learner, as specified in the range of conditions.</w:t>
      </w:r>
    </w:p>
    <w:p w:rsidR="00000000" w:rsidRPr="001A0F63" w:rsidP="001A0F63">
      <w:pPr>
        <w:pStyle w:val="BodyText"/>
      </w:pPr>
    </w:p>
    <w:p w:rsidR="00000000" w:rsidRPr="001A0F63" w:rsidP="00D57D4B">
      <w:pPr>
        <w:pStyle w:val="BodyText"/>
      </w:pPr>
      <w:r w:rsidRPr="001A0F63">
        <w:t>The assessment of performance evidence must be done by direct observation of the learner by an assessor, either by an assessor observing the learner p</w:t>
      </w:r>
      <w:r w:rsidRPr="001A0F63">
        <w:t>hysically and/or by an assessor observing the learner via audio and visual media in real time.</w:t>
      </w:r>
    </w:p>
    <w:p w:rsidR="00000000" w:rsidRPr="001A0F63" w:rsidP="00D57D4B">
      <w:pPr>
        <w:pStyle w:val="Heading3"/>
      </w:pPr>
      <w:r w:rsidRPr="001A0F63">
        <w:rPr>
          <w:rStyle w:val="SpecialBold"/>
        </w:rPr>
        <w:t>Assessor requirements</w:t>
      </w:r>
    </w:p>
    <w:p w:rsidR="00000000" w:rsidRPr="001A0F63" w:rsidP="00D57D4B">
      <w:pPr>
        <w:pStyle w:val="BodyText"/>
      </w:pPr>
      <w:r w:rsidRPr="001A0F63">
        <w:t>As a minimum, assessors must satisfy the assessor requirements in the Standards for Registered Training Organisations (RTOs) current at th</w:t>
      </w:r>
      <w:r w:rsidRPr="001A0F63">
        <w:t xml:space="preserve">e time of assessment. </w:t>
      </w:r>
    </w:p>
    <w:p w:rsidR="00000000" w:rsidRPr="001A0F63" w:rsidP="00D57D4B">
      <w:pPr>
        <w:pStyle w:val="BodyText"/>
      </w:pPr>
      <w:r w:rsidRPr="001A0F63">
        <w:t xml:space="preserve">Assessors must hold the unit </w:t>
      </w:r>
      <w:r w:rsidRPr="001A0F63">
        <w:rPr>
          <w:rStyle w:val="Emphasis"/>
        </w:rPr>
        <w:t>CPCCOHS2001A Apply OHS requirements, policies and procedures in the construction industry</w:t>
      </w:r>
      <w:r w:rsidRPr="001A0F63">
        <w:t>, or its successor.</w:t>
      </w:r>
    </w:p>
    <w:p w:rsidR="00000000" w:rsidRPr="001A0F63" w:rsidP="001A0F63">
      <w:pPr>
        <w:pStyle w:val="Heading1"/>
      </w:pPr>
      <w:bookmarkStart w:id="14" w:name="O_848451"/>
      <w:bookmarkEnd w:id="14"/>
      <w:r w:rsidRPr="001A0F63">
        <w:t>Links</w:t>
      </w:r>
    </w:p>
    <w:p w:rsidR="00000000" w:rsidRPr="001A0F63" w:rsidP="00D57D4B">
      <w:pPr>
        <w:pStyle w:val="BodyText"/>
      </w:pPr>
      <w:r w:rsidRPr="001A0F6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B11DB">
        <w:rPr>
          <w:rStyle w:val="Hyperlink"/>
        </w:rPr>
        <w:t>https://vetnet.gov.au/Pages/TrainingDocs.aspx?q=7e15fa6a-68b8-4097-b099-030a5569b1ad</w:t>
      </w:r>
      <w:r>
        <w:fldChar w:fldCharType="end"/>
      </w:r>
    </w:p>
    <w:p w:rsidR="00000000" w:rsidRPr="001A0F63" w:rsidP="001A0F63"/>
    <w:sectPr w:rsidSect="001A0F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F63" w:rsidRPr="00D57D4B" w:rsidP="00D57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4B" w:rsidP="001A0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7D4B" w:rsidP="001A0F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57D4B" w:rsidP="001A0F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F63" w:rsidP="001A0F63">
    <w:pPr>
      <w:pStyle w:val="Footer"/>
      <w:framePr w:wrap="around"/>
    </w:pPr>
    <w:r>
      <w:fldChar w:fldCharType="begin"/>
    </w:r>
    <w:r>
      <w:instrText xml:space="preserve"> DOCPROPERTY  Subject  \* MERGEFORMAT </w:instrText>
    </w:r>
    <w:r>
      <w:fldChar w:fldCharType="separate"/>
    </w:r>
    <w:r w:rsidR="00D57D4B">
      <w:t>Approved</w:t>
    </w:r>
    <w:r w:rsidR="00D57D4B">
      <w:fldChar w:fldCharType="end"/>
    </w:r>
    <w:r>
      <w:tab/>
      <w:t xml:space="preserve">Page </w:t>
    </w:r>
    <w:r>
      <w:fldChar w:fldCharType="begin"/>
    </w:r>
    <w:r>
      <w:instrText xml:space="preserve"> PAGE  \* Arabic  \* MERGEFORMAT </w:instrText>
    </w:r>
    <w:r>
      <w:fldChar w:fldCharType="separate"/>
    </w:r>
    <w:r w:rsidR="00D57D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7D4B">
      <w:rPr>
        <w:noProof/>
      </w:rPr>
      <w:t>6</w:t>
    </w:r>
    <w:r>
      <w:rPr>
        <w:noProof/>
      </w:rPr>
      <w:fldChar w:fldCharType="end"/>
    </w:r>
  </w:p>
  <w:p w:rsidR="001A0F63" w:rsidP="001A0F63">
    <w:pPr>
      <w:pStyle w:val="Footer"/>
      <w:framePr w:wrap="around"/>
    </w:pPr>
    <w:r>
      <w:t xml:space="preserve">© Commonwealth of Australia, </w:t>
    </w:r>
    <w:r>
      <w:fldChar w:fldCharType="begin"/>
    </w:r>
    <w:r>
      <w:instrText xml:space="preserve"> DATE  \@ "yyyy"  \* MERGEFORMAT </w:instrText>
    </w:r>
    <w:r>
      <w:fldChar w:fldCharType="separate"/>
    </w:r>
    <w:r w:rsidR="00D57D4B">
      <w:rPr>
        <w:noProof/>
      </w:rPr>
      <w:t>2025</w:t>
    </w:r>
    <w:r>
      <w:fldChar w:fldCharType="end"/>
    </w:r>
    <w:r>
      <w:tab/>
    </w:r>
    <w:r>
      <w:fldChar w:fldCharType="begin"/>
    </w:r>
    <w:r>
      <w:instrText xml:space="preserve"> DOCPROPERTY  Author  \* MERGEFORMAT </w:instrText>
    </w:r>
    <w:r>
      <w:fldChar w:fldCharType="separate"/>
    </w:r>
    <w:r w:rsidR="00D57D4B">
      <w:t>BuildSkills Australia</w:t>
    </w:r>
    <w:r w:rsidR="00D57D4B">
      <w:fldChar w:fldCharType="end"/>
    </w:r>
  </w:p>
  <w:p w:rsidR="001A0F63" w:rsidP="001A0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F63" w:rsidRPr="00D57D4B" w:rsidP="00D57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4B" w:rsidRPr="002D2AF8" w:rsidP="001A0F63">
    <w:pPr>
      <w:pStyle w:val="Header"/>
      <w:framePr w:wrap="around"/>
    </w:pPr>
    <w:r>
      <w:fldChar w:fldCharType="begin"/>
    </w:r>
    <w:r>
      <w:instrText xml:space="preserve"> TITLE   \* MERGEFORMAT </w:instrText>
    </w:r>
    <w:r>
      <w:fldChar w:fldCharType="separate"/>
    </w:r>
    <w:r>
      <w:t>CPCCWHS1001 Prepare to work safely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7D4B" w:rsidP="001A0F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F63" w:rsidRPr="002D2AF8" w:rsidP="001A0F63">
    <w:pPr>
      <w:pStyle w:val="Header"/>
      <w:framePr w:wrap="around"/>
    </w:pPr>
    <w:r>
      <w:fldChar w:fldCharType="begin"/>
    </w:r>
    <w:r>
      <w:instrText xml:space="preserve"> TITLE   \* MERGEFORMAT </w:instrText>
    </w:r>
    <w:r>
      <w:fldChar w:fldCharType="separate"/>
    </w:r>
    <w:r w:rsidR="00D57D4B">
      <w:t>CPCCWHS1001 Prepare to work safely in the construction industry</w:t>
    </w:r>
    <w:r w:rsidR="00D57D4B">
      <w:fldChar w:fldCharType="end"/>
    </w:r>
    <w:r>
      <w:tab/>
      <w:t xml:space="preserve">Date this document was generated: </w:t>
    </w:r>
    <w:r>
      <w:fldChar w:fldCharType="begin"/>
    </w:r>
    <w:r>
      <w:instrText xml:space="preserve"> CREATEDATE  \@ "d MMMM yyyy"  \* MERGEFORMAT </w:instrText>
    </w:r>
    <w:r>
      <w:fldChar w:fldCharType="separate"/>
    </w:r>
    <w:r w:rsidR="00D57D4B">
      <w:rPr>
        <w:noProof/>
      </w:rPr>
      <w:t>1 March 2025</w:t>
    </w:r>
    <w:r>
      <w:fldChar w:fldCharType="end"/>
    </w:r>
  </w:p>
  <w:p w:rsidR="001A0F63" w:rsidP="001A0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C5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14F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41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F63"/>
    <w:pPr>
      <w:spacing w:before="360" w:after="60"/>
      <w:outlineLvl w:val="0"/>
    </w:pPr>
    <w:rPr>
      <w:sz w:val="32"/>
    </w:rPr>
  </w:style>
  <w:style w:type="paragraph" w:styleId="Heading2">
    <w:name w:val="heading 2"/>
    <w:basedOn w:val="HeadingBase"/>
    <w:next w:val="BodyText"/>
    <w:link w:val="Heading2Char"/>
    <w:qFormat/>
    <w:rsid w:val="001A0F63"/>
    <w:pPr>
      <w:keepLines/>
      <w:spacing w:before="240" w:after="120"/>
      <w:outlineLvl w:val="1"/>
    </w:pPr>
    <w:rPr>
      <w:sz w:val="28"/>
      <w:szCs w:val="40"/>
    </w:rPr>
  </w:style>
  <w:style w:type="paragraph" w:styleId="Heading3">
    <w:name w:val="heading 3"/>
    <w:basedOn w:val="HeadingBase"/>
    <w:next w:val="BodyText"/>
    <w:link w:val="Heading3Char"/>
    <w:qFormat/>
    <w:rsid w:val="001A0F63"/>
    <w:pPr>
      <w:spacing w:before="180" w:after="120"/>
      <w:outlineLvl w:val="2"/>
    </w:pPr>
    <w:rPr>
      <w:spacing w:val="-10"/>
      <w:kern w:val="32"/>
    </w:rPr>
  </w:style>
  <w:style w:type="paragraph" w:styleId="Heading4">
    <w:name w:val="heading 4"/>
    <w:basedOn w:val="HeadingBase"/>
    <w:next w:val="BodyText"/>
    <w:link w:val="Heading4Char"/>
    <w:qFormat/>
    <w:rsid w:val="001A0F63"/>
    <w:pPr>
      <w:spacing w:before="160" w:after="120"/>
      <w:outlineLvl w:val="3"/>
    </w:pPr>
    <w:rPr>
      <w:sz w:val="22"/>
    </w:rPr>
  </w:style>
  <w:style w:type="paragraph" w:styleId="Heading5">
    <w:name w:val="heading 5"/>
    <w:basedOn w:val="HeadingBase"/>
    <w:next w:val="Normal"/>
    <w:link w:val="Heading5Char"/>
    <w:qFormat/>
    <w:rsid w:val="001A0F63"/>
    <w:pPr>
      <w:spacing w:before="80"/>
      <w:outlineLvl w:val="4"/>
    </w:pPr>
    <w:rPr>
      <w:color w:val="918585"/>
      <w:sz w:val="20"/>
    </w:rPr>
  </w:style>
  <w:style w:type="paragraph" w:styleId="Heading6">
    <w:name w:val="heading 6"/>
    <w:basedOn w:val="HeadingBase"/>
    <w:next w:val="Normal"/>
    <w:link w:val="Heading6Char"/>
    <w:qFormat/>
    <w:rsid w:val="001A0F63"/>
    <w:pPr>
      <w:spacing w:before="60"/>
      <w:outlineLvl w:val="5"/>
    </w:pPr>
    <w:rPr>
      <w:color w:val="918585"/>
      <w:sz w:val="20"/>
    </w:rPr>
  </w:style>
  <w:style w:type="paragraph" w:styleId="Heading7">
    <w:name w:val="heading 7"/>
    <w:basedOn w:val="Normal"/>
    <w:next w:val="Normal"/>
    <w:link w:val="Heading7Char"/>
    <w:qFormat/>
    <w:rsid w:val="001A0F63"/>
    <w:pPr>
      <w:ind w:left="720"/>
      <w:outlineLvl w:val="6"/>
    </w:pPr>
    <w:rPr>
      <w:i/>
    </w:rPr>
  </w:style>
  <w:style w:type="paragraph" w:styleId="Heading8">
    <w:name w:val="heading 8"/>
    <w:basedOn w:val="Normal"/>
    <w:next w:val="Normal"/>
    <w:link w:val="Heading8Char"/>
    <w:qFormat/>
    <w:rsid w:val="001A0F63"/>
    <w:pPr>
      <w:ind w:left="720"/>
      <w:outlineLvl w:val="7"/>
    </w:pPr>
    <w:rPr>
      <w:i/>
    </w:rPr>
  </w:style>
  <w:style w:type="paragraph" w:styleId="Heading9">
    <w:name w:val="heading 9"/>
    <w:basedOn w:val="Normal"/>
    <w:next w:val="Normal"/>
    <w:link w:val="Heading9Char"/>
    <w:qFormat/>
    <w:rsid w:val="001A0F63"/>
    <w:pPr>
      <w:ind w:left="720"/>
      <w:outlineLvl w:val="8"/>
    </w:pPr>
    <w:rPr>
      <w:i/>
    </w:rPr>
  </w:style>
  <w:style w:type="character" w:default="1" w:styleId="DefaultParagraphFont">
    <w:name w:val="Default Paragraph Font"/>
    <w:uiPriority w:val="1"/>
    <w:unhideWhenUsed/>
    <w:rsid w:val="001A0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F63"/>
  </w:style>
  <w:style w:type="character" w:customStyle="1" w:styleId="Heading1Char">
    <w:name w:val="Heading 1 Char"/>
    <w:basedOn w:val="DefaultParagraphFont"/>
    <w:link w:val="Heading1"/>
    <w:rsid w:val="001A0F63"/>
    <w:rPr>
      <w:rFonts w:ascii="Times New Roman" w:eastAsia="Times New Roman" w:hAnsi="Times New Roman" w:cs="Times New Roman"/>
      <w:b/>
      <w:sz w:val="32"/>
      <w:szCs w:val="20"/>
      <w:lang w:eastAsia="en-US"/>
    </w:rPr>
  </w:style>
  <w:style w:type="paragraph" w:styleId="BodyText">
    <w:name w:val="Body Text"/>
    <w:basedOn w:val="Normal"/>
    <w:link w:val="BodyTextChar"/>
    <w:rsid w:val="001A0F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F63"/>
    <w:rPr>
      <w:rFonts w:ascii="Times New Roman" w:eastAsia="Times New Roman" w:hAnsi="Times New Roman" w:cs="Times New Roman"/>
      <w:sz w:val="24"/>
      <w:lang w:eastAsia="en-US"/>
    </w:rPr>
  </w:style>
  <w:style w:type="paragraph" w:styleId="ListBullet">
    <w:name w:val="List Bullet"/>
    <w:basedOn w:val="List"/>
    <w:rsid w:val="001A0F63"/>
    <w:pPr>
      <w:numPr>
        <w:numId w:val="12"/>
      </w:numPr>
      <w:tabs>
        <w:tab w:val="clear" w:pos="340"/>
      </w:tabs>
      <w:spacing w:before="40" w:after="40"/>
    </w:pPr>
  </w:style>
  <w:style w:type="character" w:customStyle="1" w:styleId="SpecialBold">
    <w:name w:val="Special Bold"/>
    <w:basedOn w:val="DefaultParagraphFont"/>
    <w:rsid w:val="001A0F63"/>
    <w:rPr>
      <w:b/>
      <w:spacing w:val="0"/>
    </w:rPr>
  </w:style>
  <w:style w:type="paragraph" w:styleId="ListBullet2">
    <w:name w:val="List Bullet 2"/>
    <w:basedOn w:val="List2"/>
    <w:rsid w:val="001A0F63"/>
    <w:pPr>
      <w:numPr>
        <w:numId w:val="13"/>
      </w:numPr>
      <w:tabs>
        <w:tab w:val="clear" w:pos="680"/>
      </w:tabs>
    </w:pPr>
  </w:style>
  <w:style w:type="character" w:styleId="Emphasis">
    <w:name w:val="Emphasis"/>
    <w:basedOn w:val="DefaultParagraphFont"/>
    <w:qFormat/>
    <w:rsid w:val="001A0F63"/>
    <w:rPr>
      <w:i/>
    </w:rPr>
  </w:style>
  <w:style w:type="paragraph" w:customStyle="1" w:styleId="SuperHeading">
    <w:name w:val="SuperHeading"/>
    <w:basedOn w:val="Normal"/>
    <w:rsid w:val="001A0F63"/>
    <w:pPr>
      <w:spacing w:before="240" w:after="120"/>
      <w:outlineLvl w:val="0"/>
    </w:pPr>
    <w:rPr>
      <w:rFonts w:ascii="Times New Roman" w:hAnsi="Times New Roman"/>
      <w:b/>
      <w:sz w:val="32"/>
    </w:rPr>
  </w:style>
  <w:style w:type="paragraph" w:customStyle="1" w:styleId="AllowPageBreak">
    <w:name w:val="AllowPageBreak"/>
    <w:rsid w:val="001A0F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0F63"/>
    <w:rPr>
      <w:b/>
      <w:i/>
      <w:u w:val="none"/>
    </w:rPr>
  </w:style>
  <w:style w:type="character" w:customStyle="1" w:styleId="Heading2Char">
    <w:name w:val="Heading 2 Char"/>
    <w:basedOn w:val="DefaultParagraphFont"/>
    <w:link w:val="Heading2"/>
    <w:rsid w:val="001A0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F63"/>
    <w:rPr>
      <w:rFonts w:ascii="Courier New" w:eastAsia="Times New Roman" w:hAnsi="Courier New" w:cs="Times New Roman"/>
      <w:i/>
      <w:szCs w:val="20"/>
      <w:lang w:eastAsia="en-US"/>
    </w:rPr>
  </w:style>
  <w:style w:type="paragraph" w:customStyle="1" w:styleId="HeadingBase">
    <w:name w:val="Heading Base"/>
    <w:rsid w:val="001A0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F63"/>
    <w:pPr>
      <w:tabs>
        <w:tab w:val="right" w:leader="dot" w:pos="9072"/>
      </w:tabs>
      <w:ind w:left="567"/>
    </w:pPr>
    <w:rPr>
      <w:szCs w:val="22"/>
    </w:rPr>
  </w:style>
  <w:style w:type="paragraph" w:customStyle="1" w:styleId="TOCBase">
    <w:name w:val="TOC Base"/>
    <w:rsid w:val="001A0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F63"/>
    <w:pPr>
      <w:tabs>
        <w:tab w:val="right" w:leader="dot" w:pos="9072"/>
      </w:tabs>
      <w:spacing w:before="40" w:after="40"/>
      <w:ind w:left="284"/>
    </w:pPr>
    <w:rPr>
      <w:rFonts w:ascii="Times New Roman" w:hAnsi="Times New Roman"/>
    </w:rPr>
  </w:style>
  <w:style w:type="paragraph" w:styleId="TOC1">
    <w:name w:val="toc 1"/>
    <w:basedOn w:val="TOCBase"/>
    <w:next w:val="Normal"/>
    <w:rsid w:val="001A0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F63"/>
    <w:rPr>
      <w:rFonts w:ascii="Times New Roman" w:eastAsia="Times New Roman" w:hAnsi="Times New Roman" w:cs="Times New Roman"/>
      <w:sz w:val="16"/>
      <w:lang w:eastAsia="en-US"/>
    </w:rPr>
  </w:style>
  <w:style w:type="paragraph" w:styleId="Title">
    <w:name w:val="Title"/>
    <w:basedOn w:val="HeadingBase"/>
    <w:link w:val="TitleChar"/>
    <w:qFormat/>
    <w:rsid w:val="001A0F63"/>
    <w:pPr>
      <w:spacing w:before="5040"/>
      <w:jc w:val="center"/>
    </w:pPr>
    <w:rPr>
      <w:sz w:val="48"/>
      <w:szCs w:val="72"/>
      <w:lang w:val="en-US"/>
    </w:rPr>
  </w:style>
  <w:style w:type="character" w:customStyle="1" w:styleId="TitleChar">
    <w:name w:val="Title Char"/>
    <w:basedOn w:val="DefaultParagraphFont"/>
    <w:link w:val="Title"/>
    <w:rsid w:val="001A0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F63"/>
    <w:pPr>
      <w:tabs>
        <w:tab w:val="left" w:pos="3600"/>
        <w:tab w:val="left" w:pos="3958"/>
      </w:tabs>
    </w:pPr>
  </w:style>
  <w:style w:type="paragraph" w:styleId="List">
    <w:name w:val="List"/>
    <w:basedOn w:val="BodyText"/>
    <w:next w:val="BodyText"/>
    <w:rsid w:val="001A0F63"/>
    <w:pPr>
      <w:tabs>
        <w:tab w:val="left" w:pos="340"/>
      </w:tabs>
      <w:spacing w:before="60" w:after="60"/>
      <w:ind w:left="340" w:hanging="340"/>
    </w:pPr>
  </w:style>
  <w:style w:type="paragraph" w:customStyle="1" w:styleId="Note">
    <w:name w:val="Note"/>
    <w:basedOn w:val="BodyText"/>
    <w:rsid w:val="001A0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F63"/>
    <w:pPr>
      <w:framePr w:wrap="auto" w:hAnchor="text" w:y="6049"/>
    </w:pPr>
    <w:rPr>
      <w:color w:val="000000"/>
      <w:sz w:val="40"/>
    </w:rPr>
  </w:style>
  <w:style w:type="paragraph" w:customStyle="1" w:styleId="TOCTitle">
    <w:name w:val="TOCTitle"/>
    <w:basedOn w:val="Heading1"/>
    <w:rsid w:val="001A0F63"/>
    <w:pPr>
      <w:spacing w:after="240"/>
      <w:jc w:val="center"/>
      <w:outlineLvl w:val="9"/>
    </w:pPr>
    <w:rPr>
      <w:caps/>
    </w:rPr>
  </w:style>
  <w:style w:type="paragraph" w:customStyle="1" w:styleId="Version">
    <w:name w:val="Version"/>
    <w:rsid w:val="001A0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F63"/>
    <w:pPr>
      <w:keepNext w:val="0"/>
      <w:tabs>
        <w:tab w:val="right" w:pos="4176"/>
      </w:tabs>
      <w:ind w:left="198" w:hanging="198"/>
    </w:pPr>
    <w:rPr>
      <w:rFonts w:ascii="Garamond" w:hAnsi="Garamond"/>
    </w:rPr>
  </w:style>
  <w:style w:type="paragraph" w:styleId="IndexHeading">
    <w:name w:val="index heading"/>
    <w:basedOn w:val="Normal"/>
    <w:next w:val="Index1"/>
    <w:semiHidden/>
    <w:rsid w:val="001A0F63"/>
    <w:pPr>
      <w:spacing w:before="120" w:after="120"/>
    </w:pPr>
    <w:rPr>
      <w:rFonts w:ascii="Arial" w:hAnsi="Arial"/>
      <w:b/>
      <w:color w:val="918585"/>
      <w:sz w:val="24"/>
    </w:rPr>
  </w:style>
  <w:style w:type="paragraph" w:styleId="Header">
    <w:name w:val="header"/>
    <w:basedOn w:val="Normal"/>
    <w:link w:val="HeaderChar"/>
    <w:rsid w:val="001A0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F63"/>
    <w:rPr>
      <w:rFonts w:ascii="Times New Roman" w:eastAsia="Times New Roman" w:hAnsi="Times New Roman" w:cs="Times New Roman"/>
      <w:sz w:val="16"/>
      <w:szCs w:val="20"/>
      <w:lang w:val="en-GB" w:eastAsia="en-US"/>
    </w:rPr>
  </w:style>
  <w:style w:type="paragraph" w:customStyle="1" w:styleId="Chapter">
    <w:name w:val="Chapter"/>
    <w:basedOn w:val="Normal"/>
    <w:rsid w:val="001A0F63"/>
    <w:pPr>
      <w:spacing w:before="240"/>
    </w:pPr>
    <w:rPr>
      <w:rFonts w:ascii="Times New Roman" w:hAnsi="Times New Roman"/>
      <w:smallCaps/>
      <w:spacing w:val="80"/>
      <w:sz w:val="28"/>
    </w:rPr>
  </w:style>
  <w:style w:type="paragraph" w:customStyle="1" w:styleId="InChapter">
    <w:name w:val="InChapter"/>
    <w:basedOn w:val="Heading3"/>
    <w:rsid w:val="001A0F63"/>
    <w:pPr>
      <w:spacing w:after="240"/>
      <w:outlineLvl w:val="9"/>
    </w:pPr>
    <w:rPr>
      <w:noProof/>
    </w:rPr>
  </w:style>
  <w:style w:type="paragraph" w:styleId="Index2">
    <w:name w:val="index 2"/>
    <w:basedOn w:val="Normal"/>
    <w:next w:val="Normal"/>
    <w:semiHidden/>
    <w:rsid w:val="001A0F63"/>
    <w:pPr>
      <w:tabs>
        <w:tab w:val="right" w:pos="4176"/>
      </w:tabs>
      <w:ind w:left="568" w:hanging="284"/>
    </w:pPr>
    <w:rPr>
      <w:rFonts w:ascii="Garamond" w:hAnsi="Garamond"/>
    </w:rPr>
  </w:style>
  <w:style w:type="paragraph" w:customStyle="1" w:styleId="Byline">
    <w:name w:val="Byline"/>
    <w:rsid w:val="001A0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F63"/>
    <w:pPr>
      <w:tabs>
        <w:tab w:val="clear" w:pos="3600"/>
        <w:tab w:val="clear" w:pos="3958"/>
      </w:tabs>
      <w:jc w:val="right"/>
    </w:pPr>
  </w:style>
  <w:style w:type="paragraph" w:styleId="Caption">
    <w:name w:val="caption"/>
    <w:basedOn w:val="BodyText"/>
    <w:next w:val="Normal"/>
    <w:qFormat/>
    <w:rsid w:val="001A0F63"/>
    <w:pPr>
      <w:framePr w:w="2268" w:hSpace="181" w:vSpace="181" w:wrap="around" w:vAnchor="text" w:hAnchor="page" w:x="1135" w:y="285" w:anchorLock="1"/>
    </w:pPr>
    <w:rPr>
      <w:i/>
    </w:rPr>
  </w:style>
  <w:style w:type="paragraph" w:customStyle="1" w:styleId="MiniTOCTitle">
    <w:name w:val="MiniTOCTitle"/>
    <w:basedOn w:val="Heading4"/>
    <w:rsid w:val="001A0F63"/>
    <w:pPr>
      <w:spacing w:before="240"/>
      <w:outlineLvl w:val="9"/>
    </w:pPr>
    <w:rPr>
      <w:noProof/>
      <w:sz w:val="24"/>
    </w:rPr>
  </w:style>
  <w:style w:type="paragraph" w:customStyle="1" w:styleId="MiniTOCItem">
    <w:name w:val="MiniTOCItem"/>
    <w:basedOn w:val="ListBullet"/>
    <w:rsid w:val="001A0F63"/>
    <w:pPr>
      <w:numPr>
        <w:numId w:val="0"/>
      </w:numPr>
      <w:tabs>
        <w:tab w:val="right" w:leader="dot" w:pos="6521"/>
      </w:tabs>
      <w:spacing w:before="0" w:after="0"/>
    </w:pPr>
  </w:style>
  <w:style w:type="paragraph" w:customStyle="1" w:styleId="TOFTitle">
    <w:name w:val="TOFTitle"/>
    <w:basedOn w:val="TOCTitle"/>
    <w:rsid w:val="001A0F63"/>
  </w:style>
  <w:style w:type="paragraph" w:styleId="TableofFigures">
    <w:name w:val="table of figures"/>
    <w:basedOn w:val="Normal"/>
    <w:next w:val="Normal"/>
    <w:semiHidden/>
    <w:rsid w:val="001A0F63"/>
    <w:pPr>
      <w:tabs>
        <w:tab w:val="right" w:leader="dot" w:pos="9072"/>
      </w:tabs>
      <w:ind w:left="970" w:hanging="403"/>
    </w:pPr>
    <w:rPr>
      <w:rFonts w:ascii="Times New Roman" w:hAnsi="Times New Roman"/>
      <w:b/>
    </w:rPr>
  </w:style>
  <w:style w:type="paragraph" w:styleId="ListNumber">
    <w:name w:val="List Number"/>
    <w:basedOn w:val="List"/>
    <w:rsid w:val="001A0F63"/>
    <w:pPr>
      <w:numPr>
        <w:numId w:val="15"/>
      </w:numPr>
      <w:tabs>
        <w:tab w:val="clear" w:pos="340"/>
      </w:tabs>
    </w:pPr>
  </w:style>
  <w:style w:type="character" w:customStyle="1" w:styleId="WingdingSymbols">
    <w:name w:val="Wingding Symbols"/>
    <w:rsid w:val="001A0F63"/>
    <w:rPr>
      <w:rFonts w:ascii="Wingdings" w:hAnsi="Wingdings"/>
    </w:rPr>
  </w:style>
  <w:style w:type="paragraph" w:customStyle="1" w:styleId="TableHeading">
    <w:name w:val="Table Heading"/>
    <w:basedOn w:val="HeadingBase"/>
    <w:rsid w:val="001A0F63"/>
    <w:pPr>
      <w:keepLines/>
      <w:pBdr>
        <w:bottom w:val="single" w:sz="6" w:space="1" w:color="918585"/>
      </w:pBdr>
      <w:spacing w:before="240"/>
    </w:pPr>
  </w:style>
  <w:style w:type="character" w:customStyle="1" w:styleId="HotSpot">
    <w:name w:val="HotSpot"/>
    <w:rsid w:val="001A0F63"/>
    <w:rPr>
      <w:color w:val="0033CC"/>
      <w:u w:val="none"/>
    </w:rPr>
  </w:style>
  <w:style w:type="paragraph" w:customStyle="1" w:styleId="BodyTextRight">
    <w:name w:val="Body Text Right"/>
    <w:basedOn w:val="BodyText"/>
    <w:rsid w:val="001A0F63"/>
    <w:pPr>
      <w:spacing w:before="0" w:after="0"/>
      <w:jc w:val="right"/>
    </w:pPr>
  </w:style>
  <w:style w:type="paragraph" w:styleId="Index3">
    <w:name w:val="index 3"/>
    <w:basedOn w:val="ListNumber2"/>
    <w:next w:val="Normal"/>
    <w:semiHidden/>
    <w:rsid w:val="001A0F63"/>
    <w:pPr>
      <w:numPr>
        <w:numId w:val="0"/>
      </w:numPr>
      <w:tabs>
        <w:tab w:val="right" w:leader="dot" w:pos="4176"/>
      </w:tabs>
    </w:pPr>
  </w:style>
  <w:style w:type="paragraph" w:styleId="ListNumber2">
    <w:name w:val="List Number 2"/>
    <w:basedOn w:val="List2"/>
    <w:rsid w:val="001A0F63"/>
    <w:pPr>
      <w:numPr>
        <w:numId w:val="10"/>
      </w:numPr>
      <w:tabs>
        <w:tab w:val="clear" w:pos="1060"/>
      </w:tabs>
    </w:pPr>
  </w:style>
  <w:style w:type="paragraph" w:customStyle="1" w:styleId="MarginNote">
    <w:name w:val="Margin Note"/>
    <w:basedOn w:val="BodyText"/>
    <w:rsid w:val="001A0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F63"/>
    <w:rPr>
      <w:sz w:val="32"/>
    </w:rPr>
  </w:style>
  <w:style w:type="paragraph" w:customStyle="1" w:styleId="HeadingProcedure">
    <w:name w:val="Heading Procedure"/>
    <w:basedOn w:val="HeadingBase"/>
    <w:next w:val="Normal"/>
    <w:rsid w:val="001A0F63"/>
    <w:pPr>
      <w:tabs>
        <w:tab w:val="left" w:pos="0"/>
      </w:tabs>
      <w:spacing w:before="120" w:after="60"/>
    </w:pPr>
    <w:rPr>
      <w:i/>
      <w:color w:val="918585"/>
      <w:sz w:val="22"/>
    </w:rPr>
  </w:style>
  <w:style w:type="paragraph" w:customStyle="1" w:styleId="TableBodyText">
    <w:name w:val="Table Body Text"/>
    <w:basedOn w:val="BodyText"/>
    <w:rsid w:val="001A0F63"/>
    <w:pPr>
      <w:spacing w:before="60" w:after="60"/>
    </w:pPr>
  </w:style>
  <w:style w:type="paragraph" w:styleId="ListContinue">
    <w:name w:val="List Continue"/>
    <w:basedOn w:val="List"/>
    <w:rsid w:val="001A0F63"/>
    <w:pPr>
      <w:ind w:firstLine="0"/>
    </w:pPr>
  </w:style>
  <w:style w:type="paragraph" w:customStyle="1" w:styleId="ListNote">
    <w:name w:val="List Note"/>
    <w:basedOn w:val="List"/>
    <w:rsid w:val="001A0F63"/>
    <w:pPr>
      <w:pBdr>
        <w:top w:val="single" w:sz="6" w:space="2" w:color="918585"/>
        <w:bottom w:val="single" w:sz="6" w:space="2" w:color="918585"/>
      </w:pBdr>
      <w:tabs>
        <w:tab w:val="left" w:pos="1021"/>
      </w:tabs>
      <w:ind w:firstLine="0"/>
    </w:pPr>
  </w:style>
  <w:style w:type="paragraph" w:customStyle="1" w:styleId="Warning">
    <w:name w:val="Warning"/>
    <w:basedOn w:val="BodyText"/>
    <w:rsid w:val="001A0F63"/>
    <w:pPr>
      <w:shd w:val="clear" w:color="auto" w:fill="D9D9D9"/>
      <w:tabs>
        <w:tab w:val="left" w:pos="992"/>
      </w:tabs>
      <w:ind w:left="119" w:right="119"/>
    </w:pPr>
    <w:rPr>
      <w:sz w:val="20"/>
    </w:rPr>
  </w:style>
  <w:style w:type="paragraph" w:customStyle="1" w:styleId="MarginIcons">
    <w:name w:val="Margin Icons"/>
    <w:basedOn w:val="BodyText"/>
    <w:rsid w:val="001A0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F63"/>
    <w:rPr>
      <w:rFonts w:ascii="Courier New" w:hAnsi="Courier New"/>
    </w:rPr>
  </w:style>
  <w:style w:type="paragraph" w:customStyle="1" w:styleId="NoteBullet">
    <w:name w:val="Note Bullet"/>
    <w:basedOn w:val="Note"/>
    <w:rsid w:val="001A0F63"/>
    <w:pPr>
      <w:tabs>
        <w:tab w:val="clear" w:pos="680"/>
      </w:tabs>
      <w:spacing w:before="60" w:after="60"/>
    </w:pPr>
  </w:style>
  <w:style w:type="paragraph" w:customStyle="1" w:styleId="SubHeading2">
    <w:name w:val="SubHeading2"/>
    <w:basedOn w:val="HeadingBase"/>
    <w:rsid w:val="001A0F63"/>
    <w:pPr>
      <w:spacing w:before="240" w:after="60"/>
    </w:pPr>
    <w:rPr>
      <w:sz w:val="20"/>
    </w:rPr>
  </w:style>
  <w:style w:type="paragraph" w:customStyle="1" w:styleId="SubHeading1">
    <w:name w:val="SubHeading1"/>
    <w:basedOn w:val="HeadingBase"/>
    <w:rsid w:val="001A0F63"/>
    <w:pPr>
      <w:spacing w:before="240" w:after="60"/>
    </w:pPr>
    <w:rPr>
      <w:color w:val="918585"/>
      <w:sz w:val="22"/>
    </w:rPr>
  </w:style>
  <w:style w:type="paragraph" w:customStyle="1" w:styleId="SideHeading">
    <w:name w:val="Side Heading"/>
    <w:basedOn w:val="HeadingBase"/>
    <w:rsid w:val="001A0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F63"/>
    <w:pPr>
      <w:tabs>
        <w:tab w:val="num" w:pos="360"/>
      </w:tabs>
    </w:pPr>
  </w:style>
  <w:style w:type="paragraph" w:styleId="PlainText">
    <w:name w:val="Plain Text"/>
    <w:basedOn w:val="Normal"/>
    <w:link w:val="PlainTextChar"/>
    <w:rsid w:val="001A0F63"/>
    <w:rPr>
      <w:sz w:val="20"/>
    </w:rPr>
  </w:style>
  <w:style w:type="character" w:customStyle="1" w:styleId="PlainTextChar">
    <w:name w:val="Plain Text Char"/>
    <w:basedOn w:val="DefaultParagraphFont"/>
    <w:link w:val="PlainText"/>
    <w:rsid w:val="001A0F63"/>
    <w:rPr>
      <w:rFonts w:ascii="Courier New" w:eastAsia="Times New Roman" w:hAnsi="Courier New" w:cs="Times New Roman"/>
      <w:sz w:val="20"/>
      <w:szCs w:val="20"/>
      <w:lang w:eastAsia="en-US"/>
    </w:rPr>
  </w:style>
  <w:style w:type="character" w:customStyle="1" w:styleId="MenuOption">
    <w:name w:val="Menu Option"/>
    <w:basedOn w:val="DefaultParagraphFont"/>
    <w:rsid w:val="001A0F63"/>
    <w:rPr>
      <w:b/>
      <w:smallCaps/>
    </w:rPr>
  </w:style>
  <w:style w:type="paragraph" w:customStyle="1" w:styleId="TableListNumber">
    <w:name w:val="Table List Number"/>
    <w:basedOn w:val="ListNumber"/>
    <w:rsid w:val="001A0F63"/>
    <w:pPr>
      <w:numPr>
        <w:numId w:val="0"/>
      </w:numPr>
    </w:pPr>
  </w:style>
  <w:style w:type="paragraph" w:styleId="TOC4">
    <w:name w:val="toc 4"/>
    <w:basedOn w:val="TOCBase"/>
    <w:next w:val="Normal"/>
    <w:semiHidden/>
    <w:rsid w:val="001A0F63"/>
    <w:pPr>
      <w:tabs>
        <w:tab w:val="right" w:leader="dot" w:pos="9071"/>
      </w:tabs>
      <w:ind w:left="1701"/>
    </w:pPr>
  </w:style>
  <w:style w:type="paragraph" w:customStyle="1" w:styleId="ListAlpha">
    <w:name w:val="List Alpha"/>
    <w:basedOn w:val="List"/>
    <w:rsid w:val="001A0F63"/>
    <w:pPr>
      <w:numPr>
        <w:numId w:val="9"/>
      </w:numPr>
    </w:pPr>
  </w:style>
  <w:style w:type="paragraph" w:customStyle="1" w:styleId="ListAlpha2">
    <w:name w:val="List Alpha 2"/>
    <w:basedOn w:val="List2"/>
    <w:rsid w:val="001A0F63"/>
    <w:pPr>
      <w:numPr>
        <w:numId w:val="8"/>
      </w:numPr>
    </w:pPr>
  </w:style>
  <w:style w:type="paragraph" w:styleId="List2">
    <w:name w:val="List 2"/>
    <w:basedOn w:val="BodyText"/>
    <w:rsid w:val="001A0F63"/>
    <w:pPr>
      <w:tabs>
        <w:tab w:val="left" w:pos="680"/>
      </w:tabs>
      <w:spacing w:before="60" w:after="60"/>
      <w:ind w:left="680" w:hanging="340"/>
    </w:pPr>
  </w:style>
  <w:style w:type="paragraph" w:styleId="List3">
    <w:name w:val="List 3"/>
    <w:basedOn w:val="BodyText"/>
    <w:rsid w:val="001A0F63"/>
    <w:pPr>
      <w:tabs>
        <w:tab w:val="left" w:pos="1021"/>
      </w:tabs>
      <w:spacing w:before="60" w:after="60"/>
      <w:ind w:left="1020" w:hanging="340"/>
    </w:pPr>
  </w:style>
  <w:style w:type="paragraph" w:styleId="List4">
    <w:name w:val="List 4"/>
    <w:basedOn w:val="BodyText"/>
    <w:rsid w:val="001A0F63"/>
    <w:pPr>
      <w:tabs>
        <w:tab w:val="left" w:pos="1361"/>
      </w:tabs>
      <w:spacing w:before="60" w:after="60"/>
      <w:ind w:left="1361" w:hanging="340"/>
    </w:pPr>
  </w:style>
  <w:style w:type="paragraph" w:styleId="List5">
    <w:name w:val="List 5"/>
    <w:basedOn w:val="BodyText"/>
    <w:rsid w:val="001A0F63"/>
    <w:pPr>
      <w:tabs>
        <w:tab w:val="left" w:pos="1701"/>
      </w:tabs>
      <w:spacing w:before="60" w:after="60"/>
      <w:ind w:left="1701" w:hanging="340"/>
    </w:pPr>
  </w:style>
  <w:style w:type="paragraph" w:styleId="ListBullet3">
    <w:name w:val="List Bullet 3"/>
    <w:basedOn w:val="List3"/>
    <w:rsid w:val="001A0F63"/>
    <w:pPr>
      <w:numPr>
        <w:numId w:val="14"/>
      </w:numPr>
      <w:tabs>
        <w:tab w:val="clear" w:pos="1021"/>
      </w:tabs>
      <w:ind w:left="1037" w:hanging="357"/>
    </w:pPr>
  </w:style>
  <w:style w:type="paragraph" w:styleId="ListBullet4">
    <w:name w:val="List Bullet 4"/>
    <w:basedOn w:val="List4"/>
    <w:rsid w:val="001A0F63"/>
    <w:pPr>
      <w:numPr>
        <w:numId w:val="3"/>
      </w:numPr>
      <w:tabs>
        <w:tab w:val="clear" w:pos="1361"/>
      </w:tabs>
    </w:pPr>
  </w:style>
  <w:style w:type="paragraph" w:styleId="ListBullet5">
    <w:name w:val="List Bullet 5"/>
    <w:basedOn w:val="List5"/>
    <w:rsid w:val="001A0F63"/>
    <w:pPr>
      <w:numPr>
        <w:numId w:val="4"/>
      </w:numPr>
    </w:pPr>
  </w:style>
  <w:style w:type="paragraph" w:styleId="ListContinue2">
    <w:name w:val="List Continue 2"/>
    <w:basedOn w:val="List2"/>
    <w:rsid w:val="001A0F63"/>
    <w:pPr>
      <w:ind w:firstLine="0"/>
    </w:pPr>
  </w:style>
  <w:style w:type="paragraph" w:styleId="ListContinue3">
    <w:name w:val="List Continue 3"/>
    <w:basedOn w:val="List3"/>
    <w:rsid w:val="001A0F63"/>
    <w:pPr>
      <w:ind w:left="1021" w:firstLine="0"/>
    </w:pPr>
  </w:style>
  <w:style w:type="paragraph" w:styleId="ListContinue4">
    <w:name w:val="List Continue 4"/>
    <w:basedOn w:val="List4"/>
    <w:rsid w:val="001A0F63"/>
    <w:pPr>
      <w:ind w:firstLine="0"/>
    </w:pPr>
  </w:style>
  <w:style w:type="paragraph" w:styleId="ListContinue5">
    <w:name w:val="List Continue 5"/>
    <w:basedOn w:val="List5"/>
    <w:rsid w:val="001A0F63"/>
    <w:pPr>
      <w:ind w:firstLine="0"/>
    </w:pPr>
  </w:style>
  <w:style w:type="paragraph" w:styleId="ListNumber3">
    <w:name w:val="List Number 3"/>
    <w:basedOn w:val="List3"/>
    <w:rsid w:val="001A0F63"/>
    <w:pPr>
      <w:numPr>
        <w:numId w:val="5"/>
      </w:numPr>
    </w:pPr>
  </w:style>
  <w:style w:type="paragraph" w:styleId="ListNumber4">
    <w:name w:val="List Number 4"/>
    <w:basedOn w:val="List4"/>
    <w:rsid w:val="001A0F63"/>
    <w:pPr>
      <w:numPr>
        <w:numId w:val="6"/>
      </w:numPr>
    </w:pPr>
  </w:style>
  <w:style w:type="paragraph" w:styleId="ListNumber5">
    <w:name w:val="List Number 5"/>
    <w:basedOn w:val="List5"/>
    <w:rsid w:val="001A0F63"/>
    <w:pPr>
      <w:numPr>
        <w:numId w:val="7"/>
      </w:numPr>
    </w:pPr>
  </w:style>
  <w:style w:type="paragraph" w:styleId="BlockText">
    <w:name w:val="Block Text"/>
    <w:basedOn w:val="Normal"/>
    <w:rsid w:val="001A0F63"/>
    <w:pPr>
      <w:spacing w:after="120"/>
      <w:ind w:left="1440" w:right="1440"/>
    </w:pPr>
  </w:style>
  <w:style w:type="character" w:customStyle="1" w:styleId="Subscript">
    <w:name w:val="Subscript"/>
    <w:basedOn w:val="DefaultParagraphFont"/>
    <w:rsid w:val="001A0F63"/>
    <w:rPr>
      <w:sz w:val="16"/>
      <w:vertAlign w:val="subscript"/>
    </w:rPr>
  </w:style>
  <w:style w:type="character" w:customStyle="1" w:styleId="Superscript">
    <w:name w:val="Superscript"/>
    <w:basedOn w:val="DefaultParagraphFont"/>
    <w:rsid w:val="001A0F63"/>
    <w:rPr>
      <w:sz w:val="16"/>
      <w:vertAlign w:val="superscript"/>
    </w:rPr>
  </w:style>
  <w:style w:type="character" w:customStyle="1" w:styleId="Symbols">
    <w:name w:val="Symbols"/>
    <w:basedOn w:val="DefaultParagraphFont"/>
    <w:rsid w:val="001A0F63"/>
    <w:rPr>
      <w:rFonts w:ascii="Symbol" w:hAnsi="Symbol"/>
    </w:rPr>
  </w:style>
  <w:style w:type="character" w:customStyle="1" w:styleId="MenuOptions">
    <w:name w:val="Menu Options"/>
    <w:basedOn w:val="DefaultParagraphFont"/>
    <w:rsid w:val="001A0F63"/>
    <w:rPr>
      <w:rFonts w:ascii="Arial Narrow" w:hAnsi="Arial Narrow"/>
      <w:smallCaps/>
    </w:rPr>
  </w:style>
  <w:style w:type="character" w:customStyle="1" w:styleId="Buttons">
    <w:name w:val="Buttons"/>
    <w:basedOn w:val="DefaultParagraphFont"/>
    <w:rsid w:val="001A0F63"/>
    <w:rPr>
      <w:b/>
    </w:rPr>
  </w:style>
  <w:style w:type="character" w:customStyle="1" w:styleId="Underlined">
    <w:name w:val="Underlined"/>
    <w:basedOn w:val="DefaultParagraphFont"/>
    <w:rsid w:val="001A0F63"/>
    <w:rPr>
      <w:u w:val="single"/>
    </w:rPr>
  </w:style>
  <w:style w:type="paragraph" w:customStyle="1" w:styleId="TableBodyTextRight">
    <w:name w:val="Table Body Text Right"/>
    <w:basedOn w:val="TableBodyText"/>
    <w:rsid w:val="001A0F63"/>
    <w:pPr>
      <w:widowControl w:val="0"/>
      <w:autoSpaceDE w:val="0"/>
      <w:autoSpaceDN w:val="0"/>
      <w:adjustRightInd w:val="0"/>
      <w:jc w:val="right"/>
    </w:pPr>
    <w:rPr>
      <w:rFonts w:cs="Arial"/>
      <w:szCs w:val="18"/>
    </w:rPr>
  </w:style>
  <w:style w:type="paragraph" w:customStyle="1" w:styleId="CopyrightText">
    <w:name w:val="Copyright Text"/>
    <w:basedOn w:val="BodyText"/>
    <w:rsid w:val="001A0F63"/>
    <w:rPr>
      <w:sz w:val="18"/>
    </w:rPr>
  </w:style>
  <w:style w:type="paragraph" w:customStyle="1" w:styleId="BodySmallRight">
    <w:name w:val="Body Small Right"/>
    <w:basedOn w:val="BodyTextRight"/>
    <w:rsid w:val="001A0F63"/>
    <w:rPr>
      <w:sz w:val="18"/>
      <w:szCs w:val="18"/>
    </w:rPr>
  </w:style>
  <w:style w:type="paragraph" w:customStyle="1" w:styleId="MarginEdition">
    <w:name w:val="Margin Edition"/>
    <w:basedOn w:val="MarginNote"/>
    <w:rsid w:val="001A0F63"/>
    <w:pPr>
      <w:spacing w:before="0" w:after="0"/>
    </w:pPr>
    <w:rPr>
      <w:rFonts w:ascii="Times New Roman" w:hAnsi="Times New Roman"/>
      <w:color w:val="999999"/>
    </w:rPr>
  </w:style>
  <w:style w:type="paragraph" w:customStyle="1" w:styleId="Spacer">
    <w:name w:val="Spacer"/>
    <w:basedOn w:val="Normal"/>
    <w:rsid w:val="001A0F63"/>
    <w:rPr>
      <w:sz w:val="2"/>
      <w:szCs w:val="2"/>
    </w:rPr>
  </w:style>
  <w:style w:type="character" w:customStyle="1" w:styleId="Small">
    <w:name w:val="Small"/>
    <w:basedOn w:val="DefaultParagraphFont"/>
    <w:rsid w:val="001A0F63"/>
    <w:rPr>
      <w:sz w:val="16"/>
    </w:rPr>
  </w:style>
  <w:style w:type="paragraph" w:customStyle="1" w:styleId="WideTable">
    <w:name w:val="Wide Table"/>
    <w:basedOn w:val="Normal"/>
    <w:rsid w:val="001A0F63"/>
    <w:pPr>
      <w:ind w:left="-1418"/>
    </w:pPr>
    <w:rPr>
      <w:sz w:val="2"/>
      <w:szCs w:val="2"/>
    </w:rPr>
  </w:style>
  <w:style w:type="character" w:styleId="PageNumber">
    <w:name w:val="page number"/>
    <w:basedOn w:val="DefaultParagraphFont"/>
    <w:rsid w:val="001A0F63"/>
  </w:style>
  <w:style w:type="paragraph" w:styleId="Quote">
    <w:name w:val="Quote"/>
    <w:basedOn w:val="Heading1"/>
    <w:link w:val="QuoteChar"/>
    <w:qFormat/>
    <w:rsid w:val="001A0F63"/>
    <w:rPr>
      <w:b w:val="0"/>
      <w:sz w:val="72"/>
      <w:szCs w:val="72"/>
      <w:lang w:val="en-NZ"/>
    </w:rPr>
  </w:style>
  <w:style w:type="character" w:customStyle="1" w:styleId="QuoteChar">
    <w:name w:val="Quote Char"/>
    <w:basedOn w:val="DefaultParagraphFont"/>
    <w:link w:val="Quote"/>
    <w:rsid w:val="001A0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F63"/>
    <w:pPr>
      <w:pageBreakBefore/>
    </w:pPr>
  </w:style>
  <w:style w:type="paragraph" w:customStyle="1" w:styleId="Border">
    <w:name w:val="Border"/>
    <w:basedOn w:val="Normal"/>
    <w:qFormat/>
    <w:rsid w:val="001A0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F63"/>
    <w:rPr>
      <w:b/>
      <w:bCs/>
      <w:i/>
      <w:iCs/>
      <w:color w:val="auto"/>
    </w:rPr>
  </w:style>
  <w:style w:type="paragraph" w:styleId="IntenseQuote">
    <w:name w:val="Intense Quote"/>
    <w:basedOn w:val="Normal"/>
    <w:next w:val="Normal"/>
    <w:link w:val="IntenseQuoteChar"/>
    <w:uiPriority w:val="30"/>
    <w:qFormat/>
    <w:rsid w:val="001A0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F63"/>
    <w:rPr>
      <w:smallCaps/>
      <w:color w:val="auto"/>
      <w:u w:val="single"/>
    </w:rPr>
  </w:style>
  <w:style w:type="character" w:styleId="IntenseReference">
    <w:name w:val="Intense Reference"/>
    <w:basedOn w:val="DefaultParagraphFont"/>
    <w:uiPriority w:val="32"/>
    <w:qFormat/>
    <w:rsid w:val="001A0F63"/>
    <w:rPr>
      <w:b/>
      <w:bCs/>
      <w:smallCaps/>
      <w:color w:val="auto"/>
      <w:spacing w:val="5"/>
      <w:u w:val="single"/>
    </w:rPr>
  </w:style>
  <w:style w:type="paragraph" w:customStyle="1" w:styleId="2ColumnHeading">
    <w:name w:val="2Column Heading"/>
    <w:basedOn w:val="BodyText"/>
    <w:qFormat/>
    <w:rsid w:val="001A0F63"/>
    <w:pPr>
      <w:spacing w:after="60"/>
      <w:ind w:left="-2268"/>
    </w:pPr>
    <w:rPr>
      <w:b/>
    </w:rPr>
  </w:style>
  <w:style w:type="paragraph" w:customStyle="1" w:styleId="Heading1TOC">
    <w:name w:val="Heading1 TOC"/>
    <w:basedOn w:val="Normal"/>
    <w:qFormat/>
    <w:rsid w:val="001A0F63"/>
    <w:pPr>
      <w:spacing w:before="240" w:after="120"/>
    </w:pPr>
    <w:rPr>
      <w:rFonts w:ascii="Times New Roman" w:hAnsi="Times New Roman"/>
      <w:b/>
      <w:sz w:val="32"/>
    </w:rPr>
  </w:style>
  <w:style w:type="paragraph" w:customStyle="1" w:styleId="Heading2TOC">
    <w:name w:val="Heading2 TOC"/>
    <w:basedOn w:val="Normal"/>
    <w:qFormat/>
    <w:rsid w:val="001A0F63"/>
    <w:pPr>
      <w:spacing w:before="240" w:after="60"/>
    </w:pPr>
    <w:rPr>
      <w:rFonts w:ascii="Times New Roman" w:hAnsi="Times New Roman"/>
      <w:b/>
      <w:sz w:val="28"/>
    </w:rPr>
  </w:style>
  <w:style w:type="character" w:customStyle="1" w:styleId="Underline">
    <w:name w:val="Underline"/>
    <w:basedOn w:val="DefaultParagraphFont"/>
    <w:qFormat/>
    <w:rsid w:val="001A0F63"/>
    <w:rPr>
      <w:u w:val="single"/>
    </w:rPr>
  </w:style>
  <w:style w:type="paragraph" w:styleId="BalloonText">
    <w:name w:val="Balloon Text"/>
    <w:basedOn w:val="Normal"/>
    <w:link w:val="BalloonTextChar"/>
    <w:rsid w:val="001A0F63"/>
    <w:rPr>
      <w:rFonts w:ascii="Tahoma" w:hAnsi="Tahoma" w:cs="Tahoma"/>
      <w:sz w:val="16"/>
      <w:szCs w:val="16"/>
    </w:rPr>
  </w:style>
  <w:style w:type="character" w:customStyle="1" w:styleId="BalloonTextChar">
    <w:name w:val="Balloon Text Char"/>
    <w:basedOn w:val="DefaultParagraphFont"/>
    <w:link w:val="BalloonText"/>
    <w:rsid w:val="001A0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F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F63"/>
    <w:rPr>
      <w:b/>
      <w:color w:val="660033"/>
      <w:spacing w:val="0"/>
    </w:rPr>
  </w:style>
  <w:style w:type="paragraph" w:customStyle="1" w:styleId="Nameditemlist">
    <w:name w:val="Named item list"/>
    <w:basedOn w:val="BodyText"/>
    <w:qFormat/>
    <w:rsid w:val="001A0F63"/>
    <w:pPr>
      <w:tabs>
        <w:tab w:val="left" w:pos="2835"/>
      </w:tabs>
      <w:ind w:left="2835" w:hanging="2835"/>
    </w:pPr>
  </w:style>
  <w:style w:type="paragraph" w:customStyle="1" w:styleId="BodyTextnopadding">
    <w:name w:val="Body Text no padding"/>
    <w:basedOn w:val="BodyText"/>
    <w:qFormat/>
    <w:rsid w:val="001A0F63"/>
    <w:pPr>
      <w:spacing w:before="0" w:after="0"/>
    </w:pPr>
  </w:style>
  <w:style w:type="paragraph" w:customStyle="1" w:styleId="BodyTextBold">
    <w:name w:val="Body Text Bold"/>
    <w:basedOn w:val="BodyText"/>
    <w:qFormat/>
    <w:rsid w:val="001A0F63"/>
    <w:rPr>
      <w:b/>
    </w:rPr>
  </w:style>
  <w:style w:type="character" w:styleId="Hyperlink">
    <w:name w:val="Hyperlink"/>
    <w:basedOn w:val="DefaultParagraphFont"/>
    <w:uiPriority w:val="99"/>
    <w:unhideWhenUsed/>
    <w:rsid w:val="00D57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1466</Words>
  <Characters>9165</Characters>
  <Application>Microsoft Office Word</Application>
  <DocSecurity>0</DocSecurity>
  <Lines>327</Lines>
  <Paragraphs>216</Paragraphs>
  <ScaleCrop>false</ScaleCrop>
  <Company>Author-it Software Corporation Ltd.</Company>
  <LinksUpToDate>false</LinksUpToDate>
  <CharactersWithSpaces>10415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CPCCWHS1001 Prepare to work safely in the construction industry</dc:title>
  <dc:subject>Approved</dc:subject>
  <dc:creator>BuildSkills Australia</dc:creator>
  <cp:keywords>Release: 1</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