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AC3" w:rsidP="00184A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CPCCWF3001 Prepare surfaces for tiling application</w:t>
      </w:r>
      <w:r>
        <w:fldChar w:fldCharType="end"/>
      </w:r>
    </w:p>
    <w:p w:rsidR="00184AC3" w:rsidP="00184AC3">
      <w:pPr>
        <w:pStyle w:val="Version"/>
        <w:sectPr w:rsidSect="00842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2AE4" w:rsidP="00842AE4">
      <w:pPr>
        <w:pStyle w:val="SuperHeading"/>
      </w:pPr>
      <w:r w:rsidRPr="00842AE4">
        <w:t>CPCCWF3001 Prepare surfaces for tiling application</w:t>
      </w:r>
    </w:p>
    <w:p w:rsidR="00000000" w:rsidRPr="00842AE4" w:rsidP="00842AE4">
      <w:pPr>
        <w:pStyle w:val="Heading1"/>
      </w:pPr>
      <w:bookmarkStart w:id="1" w:name="O_1291004"/>
      <w:bookmarkEnd w:id="1"/>
      <w:r w:rsidRPr="00842A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Updated reference to general construction induction training program.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AE4" w:rsidP="00842AE4">
            <w:pPr>
              <w:pStyle w:val="BodyText"/>
            </w:pPr>
            <w:r w:rsidRPr="00842AE4">
              <w:t>This version first released with CPC Construction, Plumbing and Services Training Package Release 5.0.</w:t>
            </w:r>
          </w:p>
          <w:p w:rsidR="00000000" w:rsidRPr="00842AE4" w:rsidP="00842AE4">
            <w:pPr>
              <w:pStyle w:val="BodyText"/>
            </w:pPr>
            <w:r w:rsidRPr="00842AE4">
              <w:t>Supersedes and equivalent to CPC</w:t>
            </w:r>
            <w:r w:rsidRPr="00842AE4">
              <w:t>CWF3001A Prepare surfaces for tiling application.  Updated to meet the Standards for Training Packages 2012.</w:t>
            </w:r>
          </w:p>
        </w:tc>
      </w:tr>
    </w:tbl>
    <w:p w:rsidR="00000000" w:rsidRPr="00842AE4" w:rsidP="00842AE4">
      <w:pPr>
        <w:pStyle w:val="BodyText"/>
      </w:pPr>
    </w:p>
    <w:p w:rsidR="00000000" w:rsidRPr="00842AE4" w:rsidP="00842AE4">
      <w:pPr>
        <w:pStyle w:val="AllowPageBreak"/>
      </w:pPr>
    </w:p>
    <w:p w:rsidR="00000000" w:rsidRPr="00842AE4" w:rsidP="00842AE4">
      <w:pPr>
        <w:pStyle w:val="Heading1"/>
      </w:pPr>
      <w:bookmarkStart w:id="2" w:name="O_1291003"/>
      <w:bookmarkEnd w:id="2"/>
      <w:r w:rsidRPr="00842AE4">
        <w:t>Application</w:t>
      </w:r>
    </w:p>
    <w:p w:rsidR="00000000" w:rsidRPr="00842AE4" w:rsidP="00184AC3">
      <w:pPr>
        <w:pStyle w:val="BodyText"/>
      </w:pPr>
      <w:r w:rsidRPr="00842AE4">
        <w:t>This unit of competency specifies the skills and knowledge required to repair and prepare different substrates for</w:t>
      </w:r>
      <w:r w:rsidRPr="00842AE4">
        <w:t xml:space="preserve"> wall and floor tiling applications.</w:t>
      </w:r>
    </w:p>
    <w:p w:rsidR="00000000" w:rsidRPr="00842AE4" w:rsidP="00184AC3">
      <w:pPr>
        <w:pStyle w:val="BodyText"/>
      </w:pPr>
      <w:r w:rsidRPr="00842AE4">
        <w:t>The unit is suitable for those with basic skills and knowledge undertaking routine work tasks under the direction of more experienced workers.</w:t>
      </w:r>
    </w:p>
    <w:p w:rsidR="00000000" w:rsidRPr="00842AE4" w:rsidP="00184AC3">
      <w:pPr>
        <w:pStyle w:val="BodyText"/>
      </w:pPr>
      <w:r w:rsidRPr="00842AE4">
        <w:t xml:space="preserve">Completion of the general construction induction training program specified </w:t>
      </w:r>
      <w:r w:rsidRPr="00842AE4">
        <w:t xml:space="preserve">by the model Code of Practice for Construction Work is required for any person who is to carry out construction work.  Achievement of </w:t>
      </w:r>
      <w:r w:rsidRPr="00842AE4">
        <w:rPr>
          <w:rStyle w:val="Emphasis"/>
        </w:rPr>
        <w:t>CPCWHS1001</w:t>
      </w:r>
      <w:r w:rsidRPr="00842AE4">
        <w:t xml:space="preserve"> </w:t>
      </w:r>
      <w:r w:rsidRPr="00842AE4">
        <w:rPr>
          <w:rStyle w:val="Emphasis"/>
        </w:rPr>
        <w:t xml:space="preserve">Prepare to work safely in the construction industry </w:t>
      </w:r>
      <w:r w:rsidRPr="00842AE4">
        <w:t>meets this requirement.</w:t>
      </w:r>
    </w:p>
    <w:p w:rsidR="00000000" w:rsidRPr="00842AE4" w:rsidP="00184AC3">
      <w:pPr>
        <w:pStyle w:val="BodyText"/>
      </w:pPr>
      <w:r w:rsidRPr="00842AE4">
        <w:t>Licensing, legislative or certifica</w:t>
      </w:r>
      <w:r w:rsidRPr="00842AE4">
        <w:t>tion requirements apply to this unit in some states and territories and users are advised to check with the relevant regulatory authority.</w:t>
      </w:r>
    </w:p>
    <w:p w:rsidR="00000000" w:rsidRPr="00842AE4" w:rsidP="00842AE4">
      <w:pPr>
        <w:pStyle w:val="Heading1"/>
      </w:pPr>
      <w:bookmarkStart w:id="3" w:name="O_1291002"/>
      <w:bookmarkEnd w:id="3"/>
      <w:r w:rsidRPr="00842AE4">
        <w:t>Pre-requisite Unit</w:t>
      </w:r>
    </w:p>
    <w:p w:rsidR="00000000" w:rsidRPr="00842AE4" w:rsidP="00184AC3">
      <w:pPr>
        <w:pStyle w:val="BodyText"/>
      </w:pPr>
      <w:r w:rsidRPr="00842AE4">
        <w:t>CPCCWHS2001 Apply WHS requirements, policies and procedures in the construction</w:t>
      </w:r>
      <w:r w:rsidRPr="00842AE4">
        <w:t xml:space="preserve"> industry.</w:t>
      </w:r>
    </w:p>
    <w:p w:rsidR="00000000" w:rsidRPr="00842AE4" w:rsidP="00842AE4">
      <w:pPr>
        <w:pStyle w:val="Heading1"/>
      </w:pPr>
      <w:bookmarkStart w:id="4" w:name="O_1291001"/>
      <w:bookmarkEnd w:id="4"/>
      <w:r w:rsidRPr="00842AE4">
        <w:t>Unit Sector</w:t>
      </w:r>
    </w:p>
    <w:p w:rsidR="00000000" w:rsidRPr="00842AE4" w:rsidP="00184AC3">
      <w:pPr>
        <w:pStyle w:val="BodyText"/>
      </w:pPr>
      <w:r w:rsidRPr="00842AE4">
        <w:t>Wall and floor tiling</w:t>
      </w:r>
    </w:p>
    <w:p w:rsidR="00000000" w:rsidRPr="00842AE4" w:rsidP="00842AE4">
      <w:pPr>
        <w:pStyle w:val="Heading1"/>
      </w:pPr>
      <w:bookmarkStart w:id="5" w:name="O_1291000"/>
      <w:bookmarkEnd w:id="5"/>
      <w:r w:rsidRPr="00842A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Performance criteria describe what needs to be done to demonstrate achievement of the element.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 xml:space="preserve">Plan and prepare to prepare surfaces for </w:t>
            </w:r>
            <w:r w:rsidRPr="00842AE4">
              <w:t>tiling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Read and interpret task work instructions and plan sequence of work.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Select and use personal protective equipment (PPE) as required for each stage of the task.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Inspect work site, assess hazar</w:t>
            </w:r>
            <w:r w:rsidRPr="00842AE4">
              <w:t>ds and apply risk controls, including required signage and barricades.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Select tools and equipment, check for serviceability and report any faults.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Select materials required for task, calculate quantities, handle safe</w:t>
            </w:r>
            <w:r w:rsidRPr="00842AE4">
              <w:t>ly and prepare and position ready for use.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Prepare materials for preparing substrate.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Check tiling materials for product suitability to task, ensuring compatibility with surface material.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Determine activities for material preparation.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Carry out material preparation to satisfy the requirements of the application process.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Prepare framed substrates.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Prepare and install underlay for tiling application.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Finish substrate surface to approved surface standards with joints flush.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Clean surfaces to remove all contaminants and loose material.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Prepare cementitious and masonry substrate surface.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Determine substrate structure and clean surfaces to remove all contaminants and loose material.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Control suction with the use of water and apply slurry and bonding agent if required.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Measure and mix materials for screeding and/or rendering, ensuring that mortar is bonded to the substrate.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Screed and/or render and finish mortar to float finish applying specified fall.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Protect the screeded and/or rendered area with signs an</w:t>
            </w:r>
            <w:r w:rsidRPr="00842AE4">
              <w:t>d barricades to allow to dry and/or cure.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Clear work area and dispose of, reuse or recycle materials.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AE4" w:rsidP="00842AE4">
            <w:pPr>
              <w:pStyle w:val="BodyText"/>
            </w:pPr>
            <w:r w:rsidRPr="00842AE4">
              <w:t>Clean, check, maintain and store plant, tools and equipment in accordance with manufacturers’ recommendations.</w:t>
            </w:r>
          </w:p>
        </w:tc>
      </w:tr>
    </w:tbl>
    <w:p w:rsidR="00000000" w:rsidRPr="00842AE4" w:rsidP="00842AE4">
      <w:pPr>
        <w:pStyle w:val="BodyText"/>
      </w:pPr>
    </w:p>
    <w:p w:rsidR="00000000" w:rsidRPr="00842AE4" w:rsidP="00842AE4">
      <w:pPr>
        <w:pStyle w:val="AllowPageBreak"/>
      </w:pPr>
    </w:p>
    <w:p w:rsidR="00000000" w:rsidRPr="00842AE4" w:rsidP="00842AE4">
      <w:pPr>
        <w:pStyle w:val="Heading1"/>
      </w:pPr>
      <w:bookmarkStart w:id="6" w:name="O_1290999"/>
      <w:bookmarkEnd w:id="6"/>
      <w:r w:rsidRPr="00842AE4">
        <w:t>Foundation Skills</w:t>
      </w:r>
    </w:p>
    <w:p w:rsidR="00000000" w:rsidRPr="00842AE4" w:rsidP="00184AC3">
      <w:pPr>
        <w:pStyle w:val="BodyText"/>
      </w:pPr>
      <w:r w:rsidRPr="00842AE4">
        <w:t xml:space="preserve">Foundation skills essential to performance are explicit in the performance criteria of this unit of competency. </w:t>
      </w:r>
    </w:p>
    <w:p w:rsidR="00000000" w:rsidRPr="00842AE4" w:rsidP="00842AE4">
      <w:pPr>
        <w:pStyle w:val="Heading1"/>
      </w:pPr>
      <w:bookmarkStart w:id="7" w:name="O_1290998"/>
      <w:bookmarkEnd w:id="7"/>
      <w:r w:rsidRPr="00842AE4">
        <w:t>Unit Mapping Information</w:t>
      </w:r>
    </w:p>
    <w:p w:rsidR="00000000" w:rsidRPr="00842AE4" w:rsidP="00184AC3">
      <w:pPr>
        <w:pStyle w:val="BodyText"/>
      </w:pPr>
      <w:r w:rsidRPr="00842AE4">
        <w:t>Supersedes and equivalent to CPCCWF3001A Prepare surfaces for tiling app</w:t>
      </w:r>
      <w:r w:rsidRPr="00842AE4">
        <w:t>lication.</w:t>
      </w:r>
    </w:p>
    <w:p w:rsidR="00000000" w:rsidRPr="00842AE4" w:rsidP="00842AE4">
      <w:pPr>
        <w:pStyle w:val="Heading1"/>
      </w:pPr>
      <w:bookmarkStart w:id="8" w:name="O_1291005"/>
      <w:bookmarkEnd w:id="8"/>
      <w:r w:rsidRPr="00842AE4">
        <w:t>Links</w:t>
      </w:r>
    </w:p>
    <w:p w:rsidR="00000000" w:rsidRPr="00842AE4" w:rsidP="00184AC3">
      <w:pPr>
        <w:pStyle w:val="BodyText"/>
      </w:pPr>
      <w:r w:rsidRPr="00842AE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3130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42AE4" w:rsidP="00184AC3">
      <w:pPr>
        <w:pStyle w:val="BodyText"/>
        <w:sectPr w:rsidSect="00842A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2AE4" w:rsidP="00842AE4">
      <w:pPr>
        <w:pStyle w:val="SuperHeading"/>
      </w:pPr>
      <w:r w:rsidRPr="00842AE4">
        <w:t>Assessme</w:t>
      </w:r>
      <w:r w:rsidRPr="00842AE4">
        <w:t>nt Requirements for CPCCWF3001 Prepare surfaces for tiling application</w:t>
      </w:r>
    </w:p>
    <w:p w:rsidR="00000000" w:rsidRPr="00842AE4" w:rsidP="00842AE4">
      <w:pPr>
        <w:pStyle w:val="Heading1"/>
      </w:pPr>
      <w:bookmarkStart w:id="9" w:name="O_1290996"/>
      <w:bookmarkEnd w:id="9"/>
      <w:r w:rsidRPr="00842A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Updated reference to general construction induction training program.</w:t>
            </w:r>
          </w:p>
        </w:tc>
      </w:tr>
      <w:tr w:rsidTr="00842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4">
            <w:pPr>
              <w:pStyle w:val="BodyText"/>
              <w:rPr>
                <w:lang w:val="en-NZ"/>
              </w:rPr>
            </w:pPr>
            <w:r w:rsidRPr="00842AE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AE4" w:rsidP="00842AE4">
            <w:pPr>
              <w:pStyle w:val="BodyText"/>
            </w:pPr>
            <w:r w:rsidRPr="00842AE4">
              <w:t>This version first released with CPC Construction, Plumbing and Services Training Package Release 5.0.</w:t>
            </w:r>
          </w:p>
          <w:p w:rsidR="00000000" w:rsidRPr="00842AE4" w:rsidP="00842AE4">
            <w:pPr>
              <w:pStyle w:val="BodyText"/>
            </w:pPr>
            <w:r w:rsidRPr="00842AE4">
              <w:t>Supersedes and equivalent to CPCCWF3001A Prepare surfaces for tiling application.  Updated to meet the Standards for Training Packages 2012.</w:t>
            </w:r>
          </w:p>
        </w:tc>
      </w:tr>
    </w:tbl>
    <w:p w:rsidR="00000000" w:rsidRPr="00842AE4" w:rsidP="00842AE4">
      <w:pPr>
        <w:pStyle w:val="BodyText"/>
      </w:pPr>
    </w:p>
    <w:p w:rsidR="00000000" w:rsidRPr="00842AE4" w:rsidP="00842AE4">
      <w:pPr>
        <w:pStyle w:val="AllowPageBreak"/>
      </w:pPr>
    </w:p>
    <w:p w:rsidR="00000000" w:rsidRPr="00842AE4" w:rsidP="00842AE4">
      <w:pPr>
        <w:pStyle w:val="Heading1"/>
      </w:pPr>
      <w:bookmarkStart w:id="10" w:name="O_1290995"/>
      <w:bookmarkEnd w:id="10"/>
      <w:r w:rsidRPr="00842AE4">
        <w:t>Performance Evidence</w:t>
      </w:r>
    </w:p>
    <w:p w:rsidR="00000000" w:rsidRPr="00842AE4" w:rsidP="00184AC3">
      <w:pPr>
        <w:pStyle w:val="BodyText"/>
      </w:pPr>
      <w:r w:rsidRPr="00842AE4">
        <w:t xml:space="preserve">To demonstrate competency, a candidate must satisfy all of the elements, performance criteria and foundation skills of this unit by preparing for tiling: </w:t>
      </w:r>
    </w:p>
    <w:p w:rsidR="00000000" w:rsidRPr="00842AE4" w:rsidP="00842AE4">
      <w:pPr>
        <w:pStyle w:val="ListBullet"/>
      </w:pPr>
      <w:r w:rsidRPr="00842AE4">
        <w:t xml:space="preserve">9 square metres of a framed bathroom wall and floor </w:t>
      </w:r>
    </w:p>
    <w:p w:rsidR="00000000" w:rsidRPr="00842AE4" w:rsidP="00842AE4">
      <w:pPr>
        <w:pStyle w:val="ListBullet"/>
      </w:pPr>
      <w:r w:rsidRPr="00842AE4">
        <w:t>9 square metres o</w:t>
      </w:r>
      <w:r w:rsidRPr="00842AE4">
        <w:t>f a masonry bathroom wall and floor.</w:t>
      </w:r>
    </w:p>
    <w:p w:rsidR="00000000" w:rsidRPr="00842AE4" w:rsidP="00184AC3">
      <w:pPr>
        <w:pStyle w:val="BodyText"/>
      </w:pPr>
      <w:r w:rsidRPr="00842AE4">
        <w:t>All work must be performed to the standard required in the workplace and comply with Commonwealth and state/territory laws and regulations, Australian Standards, work health and safety (WHS) and environmental requiremen</w:t>
      </w:r>
      <w:r w:rsidRPr="00842AE4">
        <w:t>ts, manufacturers’ specifications and workplace requirements.</w:t>
      </w:r>
    </w:p>
    <w:p w:rsidR="00000000" w:rsidRPr="00842AE4" w:rsidP="00842AE4">
      <w:pPr>
        <w:pStyle w:val="Heading1"/>
      </w:pPr>
      <w:bookmarkStart w:id="11" w:name="O_1290994"/>
      <w:bookmarkEnd w:id="11"/>
      <w:r w:rsidRPr="00842AE4">
        <w:t>Knowledge Evidence</w:t>
      </w:r>
    </w:p>
    <w:p w:rsidR="00000000" w:rsidRPr="00842AE4" w:rsidP="00184AC3">
      <w:pPr>
        <w:pStyle w:val="BodyText"/>
      </w:pPr>
      <w:r w:rsidRPr="00842AE4">
        <w:t>To be competent in this unit, a candidate must demonstrate knowledge of:</w:t>
      </w:r>
    </w:p>
    <w:p w:rsidR="00000000" w:rsidRPr="00842AE4" w:rsidP="00842AE4">
      <w:pPr>
        <w:pStyle w:val="ListBullet"/>
      </w:pPr>
      <w:r w:rsidRPr="00842AE4">
        <w:t>compliance requirements of Australian Standards for preparing surfaces for tiling</w:t>
      </w:r>
    </w:p>
    <w:p w:rsidR="00000000" w:rsidRPr="00842AE4" w:rsidP="00842AE4">
      <w:pPr>
        <w:pStyle w:val="ListBullet"/>
      </w:pPr>
      <w:r w:rsidRPr="00842AE4">
        <w:t>workplace quality policies and standards for preparing surfaces for tiling</w:t>
      </w:r>
    </w:p>
    <w:p w:rsidR="00000000" w:rsidRPr="00842AE4" w:rsidP="00842AE4">
      <w:pPr>
        <w:pStyle w:val="ListBullet"/>
      </w:pPr>
      <w:r w:rsidRPr="00842AE4">
        <w:t>safety requirements for preparing surfaces for tiling, including:</w:t>
      </w:r>
    </w:p>
    <w:p w:rsidR="00000000" w:rsidRPr="00842AE4" w:rsidP="00842AE4">
      <w:pPr>
        <w:pStyle w:val="ListBullet2"/>
      </w:pPr>
      <w:r w:rsidRPr="00842AE4">
        <w:t xml:space="preserve">job safety analyses and/or safe work method statements in accordance with Safe Work Australia </w:t>
      </w:r>
      <w:r w:rsidRPr="00842AE4">
        <w:rPr>
          <w:rStyle w:val="Emphasis"/>
        </w:rPr>
        <w:t>Code of Practice for</w:t>
      </w:r>
      <w:r w:rsidRPr="00842AE4">
        <w:rPr>
          <w:rStyle w:val="Emphasis"/>
        </w:rPr>
        <w:t xml:space="preserve"> Construction Work</w:t>
      </w:r>
      <w:r w:rsidRPr="00842AE4">
        <w:t xml:space="preserve"> or state and/or territory equivalent</w:t>
      </w:r>
    </w:p>
    <w:p w:rsidR="00000000" w:rsidRPr="00842AE4" w:rsidP="00842AE4">
      <w:pPr>
        <w:pStyle w:val="ListBullet2"/>
      </w:pPr>
      <w:r w:rsidRPr="00842AE4">
        <w:t>personal protective equipment (PPE)</w:t>
      </w:r>
    </w:p>
    <w:p w:rsidR="00000000" w:rsidRPr="00842AE4" w:rsidP="00842AE4">
      <w:pPr>
        <w:pStyle w:val="ListBullet"/>
      </w:pPr>
      <w:r w:rsidRPr="00842AE4">
        <w:t>environmental requirements for preparing surfaces for tiling</w:t>
      </w:r>
    </w:p>
    <w:p w:rsidR="00000000" w:rsidRPr="00842AE4" w:rsidP="00842AE4">
      <w:pPr>
        <w:pStyle w:val="ListBullet"/>
      </w:pPr>
      <w:r w:rsidRPr="00842AE4">
        <w:t>types and uses of materials storage and environmentally friendly waste management</w:t>
      </w:r>
    </w:p>
    <w:p w:rsidR="00000000" w:rsidRPr="00842AE4" w:rsidP="00842AE4">
      <w:pPr>
        <w:pStyle w:val="ListBullet"/>
      </w:pPr>
      <w:r w:rsidRPr="00842AE4">
        <w:t>types and uses of to</w:t>
      </w:r>
      <w:r w:rsidRPr="00842AE4">
        <w:t>ols and equipment for preparing surfaces for tiling</w:t>
      </w:r>
    </w:p>
    <w:p w:rsidR="00000000" w:rsidRPr="00842AE4" w:rsidP="00842AE4">
      <w:pPr>
        <w:pStyle w:val="ListBullet"/>
      </w:pPr>
      <w:r w:rsidRPr="00842AE4">
        <w:t>processes for selection of compatible materials for preparing surfaces for tiling</w:t>
      </w:r>
    </w:p>
    <w:p w:rsidR="00000000" w:rsidRPr="00842AE4" w:rsidP="00842AE4">
      <w:pPr>
        <w:pStyle w:val="ListBullet"/>
      </w:pPr>
      <w:r w:rsidRPr="00842AE4">
        <w:t>processes for the calculation of material requirements for preparing surfaces for tiling</w:t>
      </w:r>
    </w:p>
    <w:p w:rsidR="00000000" w:rsidRPr="00842AE4" w:rsidP="00842AE4">
      <w:pPr>
        <w:pStyle w:val="ListBullet"/>
      </w:pPr>
      <w:r w:rsidRPr="00842AE4">
        <w:t>surface preparation materials and</w:t>
      </w:r>
      <w:r w:rsidRPr="00842AE4">
        <w:t xml:space="preserve"> techniques for:</w:t>
      </w:r>
    </w:p>
    <w:p w:rsidR="00000000" w:rsidRPr="00842AE4" w:rsidP="00842AE4">
      <w:pPr>
        <w:pStyle w:val="ListBullet2"/>
      </w:pPr>
      <w:r w:rsidRPr="00842AE4">
        <w:t>underlay material</w:t>
      </w:r>
    </w:p>
    <w:p w:rsidR="00000000" w:rsidRPr="00842AE4" w:rsidP="00842AE4">
      <w:pPr>
        <w:pStyle w:val="ListBullet2"/>
      </w:pPr>
      <w:r w:rsidRPr="00842AE4">
        <w:t>substrate preparation</w:t>
      </w:r>
    </w:p>
    <w:p w:rsidR="00000000" w:rsidRPr="00842AE4" w:rsidP="00842AE4">
      <w:pPr>
        <w:pStyle w:val="ListBullet2"/>
      </w:pPr>
      <w:r w:rsidRPr="00842AE4">
        <w:t>substrate surface materials.</w:t>
      </w:r>
    </w:p>
    <w:p w:rsidR="00000000" w:rsidRPr="00842AE4" w:rsidP="00842AE4">
      <w:pPr>
        <w:pStyle w:val="AllowPageBreak"/>
      </w:pPr>
    </w:p>
    <w:p w:rsidR="00000000" w:rsidRPr="00842AE4" w:rsidP="00842AE4">
      <w:pPr>
        <w:pStyle w:val="Heading1"/>
      </w:pPr>
      <w:bookmarkStart w:id="12" w:name="O_1290993"/>
      <w:bookmarkEnd w:id="12"/>
      <w:r w:rsidRPr="00842AE4">
        <w:t>Assessment Conditions</w:t>
      </w:r>
    </w:p>
    <w:p w:rsidR="00000000" w:rsidRPr="00842AE4" w:rsidP="00184AC3">
      <w:pPr>
        <w:pStyle w:val="BodyText"/>
      </w:pPr>
      <w:r w:rsidRPr="00842AE4">
        <w:t>Assessors must meet the requirements for assessors contained in the Standards for Registered Training Organisations.</w:t>
      </w:r>
    </w:p>
    <w:p w:rsidR="00000000" w:rsidRPr="00842AE4" w:rsidP="00184AC3">
      <w:pPr>
        <w:pStyle w:val="BodyText"/>
      </w:pPr>
      <w:r w:rsidRPr="00842AE4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842AE4" w:rsidP="00842AE4">
      <w:pPr>
        <w:pStyle w:val="Heading1"/>
      </w:pPr>
      <w:bookmarkStart w:id="13" w:name="O_1291006"/>
      <w:bookmarkEnd w:id="13"/>
      <w:r w:rsidRPr="00842AE4">
        <w:t>Links</w:t>
      </w:r>
    </w:p>
    <w:p w:rsidR="00000000" w:rsidRPr="00842AE4" w:rsidP="00184AC3">
      <w:pPr>
        <w:pStyle w:val="BodyText"/>
      </w:pPr>
      <w:r w:rsidRPr="00842AE4">
        <w:t>Companion volumes t</w:t>
      </w:r>
      <w:r w:rsidRPr="00842AE4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3130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42AE4" w:rsidP="00842AE4"/>
    <w:sectPr w:rsidSect="00842A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E4" w:rsidRPr="00184AC3" w:rsidP="00184A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C3" w:rsidP="00842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AC3" w:rsidP="00842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84AC3" w:rsidP="00842A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E4" w:rsidP="00842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4AC3">
      <w:t>Approved</w:t>
    </w:r>
    <w:r w:rsidR="00184A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4A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4AC3">
      <w:rPr>
        <w:noProof/>
      </w:rPr>
      <w:t>4</w:t>
    </w:r>
    <w:r>
      <w:rPr>
        <w:noProof/>
      </w:rPr>
      <w:fldChar w:fldCharType="end"/>
    </w:r>
  </w:p>
  <w:p w:rsidR="00842AE4" w:rsidP="00842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4A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4AC3">
      <w:t>BuildSkills Australia</w:t>
    </w:r>
    <w:r w:rsidR="00184AC3">
      <w:fldChar w:fldCharType="end"/>
    </w:r>
  </w:p>
  <w:p w:rsidR="00842AE4" w:rsidP="00842A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AE4" w:rsidRPr="00184AC3" w:rsidP="00184A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C3" w:rsidRPr="002D2AF8" w:rsidP="00842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CPCCWF3001 Prepare surfaces for tiling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4AC3" w:rsidP="00842A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E4" w:rsidRPr="002D2AF8" w:rsidP="00842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4AC3">
      <w:t>CPCCWF3001 Prepare surfaces for tiling application</w:t>
    </w:r>
    <w:r w:rsidR="00184A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4AC3">
      <w:rPr>
        <w:noProof/>
      </w:rPr>
      <w:t>2 March 2025</w:t>
    </w:r>
    <w:r>
      <w:fldChar w:fldCharType="end"/>
    </w:r>
  </w:p>
  <w:p w:rsidR="00842AE4" w:rsidP="00842A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7E4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787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4E2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AE4"/>
  </w:style>
  <w:style w:type="character" w:customStyle="1" w:styleId="Heading1Char">
    <w:name w:val="Heading 1 Char"/>
    <w:basedOn w:val="DefaultParagraphFont"/>
    <w:link w:val="Heading1"/>
    <w:rsid w:val="00842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A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A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A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2A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2AE4"/>
    <w:rPr>
      <w:i/>
    </w:rPr>
  </w:style>
  <w:style w:type="paragraph" w:customStyle="1" w:styleId="SuperHeading">
    <w:name w:val="SuperHeading"/>
    <w:basedOn w:val="Normal"/>
    <w:rsid w:val="00842A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A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A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A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A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2AE4"/>
    <w:rPr>
      <w:b/>
      <w:spacing w:val="0"/>
    </w:rPr>
  </w:style>
  <w:style w:type="paragraph" w:customStyle="1" w:styleId="SuperTitle">
    <w:name w:val="SuperTitle"/>
    <w:basedOn w:val="Title"/>
    <w:rsid w:val="00842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2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A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A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AE4"/>
  </w:style>
  <w:style w:type="paragraph" w:styleId="TableofFigures">
    <w:name w:val="table of figures"/>
    <w:basedOn w:val="Normal"/>
    <w:next w:val="Normal"/>
    <w:semiHidden/>
    <w:rsid w:val="00842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A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2AE4"/>
    <w:rPr>
      <w:rFonts w:ascii="Wingdings" w:hAnsi="Wingdings"/>
    </w:rPr>
  </w:style>
  <w:style w:type="paragraph" w:customStyle="1" w:styleId="TableHeading">
    <w:name w:val="Table Heading"/>
    <w:basedOn w:val="HeadingBase"/>
    <w:rsid w:val="00842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AE4"/>
    <w:rPr>
      <w:color w:val="0033CC"/>
      <w:u w:val="none"/>
    </w:rPr>
  </w:style>
  <w:style w:type="paragraph" w:customStyle="1" w:styleId="BodyTextRight">
    <w:name w:val="Body Text Right"/>
    <w:basedOn w:val="BodyText"/>
    <w:rsid w:val="00842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A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A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AE4"/>
    <w:rPr>
      <w:sz w:val="32"/>
    </w:rPr>
  </w:style>
  <w:style w:type="paragraph" w:customStyle="1" w:styleId="HeadingProcedure">
    <w:name w:val="Heading Procedure"/>
    <w:basedOn w:val="HeadingBase"/>
    <w:next w:val="Normal"/>
    <w:rsid w:val="00842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AE4"/>
    <w:pPr>
      <w:spacing w:before="60" w:after="60"/>
    </w:pPr>
  </w:style>
  <w:style w:type="paragraph" w:styleId="ListContinue">
    <w:name w:val="List Continue"/>
    <w:basedOn w:val="List"/>
    <w:rsid w:val="00842AE4"/>
    <w:pPr>
      <w:ind w:firstLine="0"/>
    </w:pPr>
  </w:style>
  <w:style w:type="paragraph" w:customStyle="1" w:styleId="ListNote">
    <w:name w:val="List Note"/>
    <w:basedOn w:val="List"/>
    <w:rsid w:val="00842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AE4"/>
    <w:rPr>
      <w:rFonts w:ascii="Courier New" w:hAnsi="Courier New"/>
    </w:rPr>
  </w:style>
  <w:style w:type="paragraph" w:customStyle="1" w:styleId="NoteBullet">
    <w:name w:val="Note Bullet"/>
    <w:basedOn w:val="Note"/>
    <w:rsid w:val="00842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A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2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A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AE4"/>
    <w:rPr>
      <w:b/>
      <w:smallCaps/>
    </w:rPr>
  </w:style>
  <w:style w:type="paragraph" w:customStyle="1" w:styleId="TableListNumber">
    <w:name w:val="Table List Number"/>
    <w:basedOn w:val="ListNumber"/>
    <w:rsid w:val="00842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AE4"/>
    <w:pPr>
      <w:numPr>
        <w:numId w:val="9"/>
      </w:numPr>
    </w:pPr>
  </w:style>
  <w:style w:type="paragraph" w:customStyle="1" w:styleId="ListAlpha2">
    <w:name w:val="List Alpha 2"/>
    <w:basedOn w:val="List2"/>
    <w:rsid w:val="00842AE4"/>
    <w:pPr>
      <w:numPr>
        <w:numId w:val="8"/>
      </w:numPr>
    </w:pPr>
  </w:style>
  <w:style w:type="paragraph" w:styleId="List2">
    <w:name w:val="List 2"/>
    <w:basedOn w:val="BodyText"/>
    <w:rsid w:val="00842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A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A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2AE4"/>
    <w:pPr>
      <w:numPr>
        <w:numId w:val="4"/>
      </w:numPr>
    </w:pPr>
  </w:style>
  <w:style w:type="paragraph" w:styleId="ListContinue2">
    <w:name w:val="List Continue 2"/>
    <w:basedOn w:val="List2"/>
    <w:rsid w:val="00842AE4"/>
    <w:pPr>
      <w:ind w:firstLine="0"/>
    </w:pPr>
  </w:style>
  <w:style w:type="paragraph" w:styleId="ListContinue3">
    <w:name w:val="List Continue 3"/>
    <w:basedOn w:val="List3"/>
    <w:rsid w:val="00842AE4"/>
    <w:pPr>
      <w:ind w:left="1021" w:firstLine="0"/>
    </w:pPr>
  </w:style>
  <w:style w:type="paragraph" w:styleId="ListContinue4">
    <w:name w:val="List Continue 4"/>
    <w:basedOn w:val="List4"/>
    <w:rsid w:val="00842AE4"/>
    <w:pPr>
      <w:ind w:firstLine="0"/>
    </w:pPr>
  </w:style>
  <w:style w:type="paragraph" w:styleId="ListContinue5">
    <w:name w:val="List Continue 5"/>
    <w:basedOn w:val="List5"/>
    <w:rsid w:val="00842AE4"/>
    <w:pPr>
      <w:ind w:firstLine="0"/>
    </w:pPr>
  </w:style>
  <w:style w:type="paragraph" w:styleId="ListNumber3">
    <w:name w:val="List Number 3"/>
    <w:basedOn w:val="List3"/>
    <w:rsid w:val="00842AE4"/>
    <w:pPr>
      <w:numPr>
        <w:numId w:val="5"/>
      </w:numPr>
    </w:pPr>
  </w:style>
  <w:style w:type="paragraph" w:styleId="ListNumber4">
    <w:name w:val="List Number 4"/>
    <w:basedOn w:val="List4"/>
    <w:rsid w:val="00842AE4"/>
    <w:pPr>
      <w:numPr>
        <w:numId w:val="6"/>
      </w:numPr>
    </w:pPr>
  </w:style>
  <w:style w:type="paragraph" w:styleId="ListNumber5">
    <w:name w:val="List Number 5"/>
    <w:basedOn w:val="List5"/>
    <w:rsid w:val="00842AE4"/>
    <w:pPr>
      <w:numPr>
        <w:numId w:val="7"/>
      </w:numPr>
    </w:pPr>
  </w:style>
  <w:style w:type="paragraph" w:styleId="BlockText">
    <w:name w:val="Block Text"/>
    <w:basedOn w:val="Normal"/>
    <w:rsid w:val="00842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AE4"/>
    <w:rPr>
      <w:sz w:val="16"/>
      <w:vertAlign w:val="superscript"/>
    </w:rPr>
  </w:style>
  <w:style w:type="character" w:customStyle="1" w:styleId="Symbols">
    <w:name w:val="Symbols"/>
    <w:basedOn w:val="DefaultParagraphFont"/>
    <w:rsid w:val="00842AE4"/>
    <w:rPr>
      <w:rFonts w:ascii="Symbol" w:hAnsi="Symbol"/>
    </w:rPr>
  </w:style>
  <w:style w:type="character" w:customStyle="1" w:styleId="MenuOptions">
    <w:name w:val="Menu Options"/>
    <w:basedOn w:val="DefaultParagraphFont"/>
    <w:rsid w:val="00842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AE4"/>
    <w:rPr>
      <w:b/>
    </w:rPr>
  </w:style>
  <w:style w:type="character" w:customStyle="1" w:styleId="Underlined">
    <w:name w:val="Underlined"/>
    <w:basedOn w:val="DefaultParagraphFont"/>
    <w:rsid w:val="00842AE4"/>
    <w:rPr>
      <w:u w:val="single"/>
    </w:rPr>
  </w:style>
  <w:style w:type="paragraph" w:customStyle="1" w:styleId="TableBodyTextRight">
    <w:name w:val="Table Body Text Right"/>
    <w:basedOn w:val="TableBodyText"/>
    <w:rsid w:val="00842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AE4"/>
    <w:rPr>
      <w:sz w:val="18"/>
    </w:rPr>
  </w:style>
  <w:style w:type="paragraph" w:customStyle="1" w:styleId="BodySmallRight">
    <w:name w:val="Body Small Right"/>
    <w:basedOn w:val="BodyTextRight"/>
    <w:rsid w:val="00842AE4"/>
    <w:rPr>
      <w:sz w:val="18"/>
      <w:szCs w:val="18"/>
    </w:rPr>
  </w:style>
  <w:style w:type="paragraph" w:customStyle="1" w:styleId="MarginEdition">
    <w:name w:val="Margin Edition"/>
    <w:basedOn w:val="MarginNote"/>
    <w:rsid w:val="00842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AE4"/>
    <w:rPr>
      <w:sz w:val="2"/>
      <w:szCs w:val="2"/>
    </w:rPr>
  </w:style>
  <w:style w:type="character" w:customStyle="1" w:styleId="Small">
    <w:name w:val="Small"/>
    <w:basedOn w:val="DefaultParagraphFont"/>
    <w:rsid w:val="00842AE4"/>
    <w:rPr>
      <w:sz w:val="16"/>
    </w:rPr>
  </w:style>
  <w:style w:type="paragraph" w:customStyle="1" w:styleId="WideTable">
    <w:name w:val="Wide Table"/>
    <w:basedOn w:val="Normal"/>
    <w:rsid w:val="00842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AE4"/>
  </w:style>
  <w:style w:type="paragraph" w:styleId="Quote">
    <w:name w:val="Quote"/>
    <w:basedOn w:val="Heading1"/>
    <w:link w:val="QuoteChar"/>
    <w:qFormat/>
    <w:rsid w:val="00842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AE4"/>
    <w:pPr>
      <w:pageBreakBefore/>
    </w:pPr>
  </w:style>
  <w:style w:type="paragraph" w:customStyle="1" w:styleId="Border">
    <w:name w:val="Border"/>
    <w:basedOn w:val="Normal"/>
    <w:qFormat/>
    <w:rsid w:val="00842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A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AE4"/>
    <w:rPr>
      <w:u w:val="single"/>
    </w:rPr>
  </w:style>
  <w:style w:type="character" w:customStyle="1" w:styleId="BoldandItalics">
    <w:name w:val="Bold and Italics"/>
    <w:qFormat/>
    <w:rsid w:val="00842AE4"/>
    <w:rPr>
      <w:b/>
      <w:i/>
      <w:u w:val="none"/>
    </w:rPr>
  </w:style>
  <w:style w:type="paragraph" w:styleId="BalloonText">
    <w:name w:val="Balloon Text"/>
    <w:basedOn w:val="Normal"/>
    <w:link w:val="BalloonTextChar"/>
    <w:rsid w:val="00842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A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A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A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A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A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AE4"/>
    <w:pPr>
      <w:spacing w:before="0" w:after="0"/>
    </w:pPr>
  </w:style>
  <w:style w:type="paragraph" w:customStyle="1" w:styleId="BodyTextBold">
    <w:name w:val="Body Text Bold"/>
    <w:basedOn w:val="BodyText"/>
    <w:qFormat/>
    <w:rsid w:val="00842AE4"/>
    <w:rPr>
      <w:b/>
    </w:rPr>
  </w:style>
  <w:style w:type="character" w:styleId="Hyperlink">
    <w:name w:val="Hyperlink"/>
    <w:basedOn w:val="DefaultParagraphFont"/>
    <w:uiPriority w:val="99"/>
    <w:unhideWhenUsed/>
    <w:rsid w:val="00184A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5931</Characters>
  <Application>Microsoft Office Word</Application>
  <DocSecurity>0</DocSecurity>
  <Lines>228</Lines>
  <Paragraphs>129</Paragraphs>
  <ScaleCrop>false</ScaleCrop>
  <Company>Author-it Software Corporation Ltd.</Company>
  <LinksUpToDate>false</LinksUpToDate>
  <CharactersWithSpaces>6736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CPCCWF3001 Prepare surfaces for tiling application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2025-03-01T19:07:00Z</dcterms:created>
  <dcterms:modified xsi:type="dcterms:W3CDTF">2025-03-01T19:07:00Z</dcterms:modified>
</cp:coreProperties>
</file>