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780" w:rsidP="00344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CPCCWF3001 Prepare surfaces for tiling application</w:t>
      </w:r>
      <w:r>
        <w:fldChar w:fldCharType="end"/>
      </w:r>
    </w:p>
    <w:p w:rsidR="00344780" w:rsidP="00344780">
      <w:pPr>
        <w:pStyle w:val="Version"/>
        <w:sectPr w:rsidSect="00707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72A0" w:rsidP="007072A0">
      <w:pPr>
        <w:pStyle w:val="SuperHeading"/>
      </w:pPr>
      <w:r w:rsidRPr="007072A0">
        <w:t>Assessment Requirements for CPCCWF3001 Prepare surfaces for tiling application</w:t>
      </w:r>
    </w:p>
    <w:p w:rsidR="00000000" w:rsidRPr="007072A0" w:rsidP="007072A0">
      <w:pPr>
        <w:pStyle w:val="Heading1"/>
      </w:pPr>
      <w:bookmarkStart w:id="1" w:name="O_1290996"/>
      <w:bookmarkEnd w:id="1"/>
      <w:r w:rsidRPr="00707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07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0">
            <w:pPr>
              <w:pStyle w:val="BodyText"/>
              <w:rPr>
                <w:lang w:val="en-NZ"/>
              </w:rPr>
            </w:pPr>
            <w:r w:rsidRPr="007072A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0">
            <w:pPr>
              <w:pStyle w:val="BodyText"/>
              <w:rPr>
                <w:lang w:val="en-NZ"/>
              </w:rPr>
            </w:pPr>
            <w:r w:rsidRPr="007072A0">
              <w:t>Updated reference to general construction induction training program.</w:t>
            </w:r>
          </w:p>
        </w:tc>
      </w:tr>
      <w:tr w:rsidTr="00707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A0">
            <w:pPr>
              <w:pStyle w:val="BodyText"/>
              <w:rPr>
                <w:lang w:val="en-NZ"/>
              </w:rPr>
            </w:pPr>
            <w:r w:rsidRPr="007072A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A0" w:rsidP="007072A0">
            <w:pPr>
              <w:pStyle w:val="BodyText"/>
            </w:pPr>
            <w:r w:rsidRPr="007072A0">
              <w:t>This version first released with CPC Construction, Plumbing and Services Training Package Release 5.0.</w:t>
            </w:r>
          </w:p>
          <w:p w:rsidR="00000000" w:rsidRPr="007072A0" w:rsidP="007072A0">
            <w:pPr>
              <w:pStyle w:val="BodyText"/>
            </w:pPr>
            <w:r w:rsidRPr="007072A0">
              <w:t>Supersedes and equivalent to CPCCWF3001A Prepare surfaces for tiling application.  Updated to meet the Standards for Training Packages 2012.</w:t>
            </w:r>
          </w:p>
        </w:tc>
      </w:tr>
    </w:tbl>
    <w:p w:rsidR="00000000" w:rsidRPr="007072A0" w:rsidP="007072A0">
      <w:pPr>
        <w:pStyle w:val="BodyText"/>
      </w:pPr>
    </w:p>
    <w:p w:rsidR="00000000" w:rsidRPr="007072A0" w:rsidP="007072A0">
      <w:pPr>
        <w:pStyle w:val="AllowPageBreak"/>
      </w:pPr>
    </w:p>
    <w:p w:rsidR="00000000" w:rsidRPr="007072A0" w:rsidP="007072A0">
      <w:pPr>
        <w:pStyle w:val="Heading1"/>
      </w:pPr>
      <w:bookmarkStart w:id="2" w:name="O_1290995"/>
      <w:bookmarkEnd w:id="2"/>
      <w:r w:rsidRPr="007072A0">
        <w:t>Performance Evidence</w:t>
      </w:r>
    </w:p>
    <w:p w:rsidR="00000000" w:rsidRPr="007072A0" w:rsidP="00344780">
      <w:pPr>
        <w:pStyle w:val="BodyText"/>
      </w:pPr>
      <w:r w:rsidRPr="007072A0">
        <w:t xml:space="preserve">To demonstrate competency, a candidate must satisfy all of the elements, performance criteria and foundation skills of this unit by preparing for tiling: </w:t>
      </w:r>
    </w:p>
    <w:p w:rsidR="00000000" w:rsidRPr="007072A0" w:rsidP="007072A0">
      <w:pPr>
        <w:pStyle w:val="ListBullet"/>
      </w:pPr>
      <w:r w:rsidRPr="007072A0">
        <w:t xml:space="preserve">9 square metres of a framed bathroom wall and floor </w:t>
      </w:r>
    </w:p>
    <w:p w:rsidR="00000000" w:rsidRPr="007072A0" w:rsidP="007072A0">
      <w:pPr>
        <w:pStyle w:val="ListBullet"/>
      </w:pPr>
      <w:r w:rsidRPr="007072A0">
        <w:t>9 square metres of a masonry bathroom wall and floor.</w:t>
      </w:r>
    </w:p>
    <w:p w:rsidR="00000000" w:rsidRPr="007072A0" w:rsidP="00344780">
      <w:pPr>
        <w:pStyle w:val="BodyText"/>
      </w:pPr>
      <w:r w:rsidRPr="007072A0">
        <w:t>All work must be performed to the standard required in the workplace and comply with Commonwealth and state/territory laws and regulations, Australian Standards, work health and safety (WHS) and environ</w:t>
      </w:r>
      <w:r w:rsidRPr="007072A0">
        <w:t>mental requirements, manufacturers’ specifications and workplace requirements.</w:t>
      </w:r>
    </w:p>
    <w:p w:rsidR="00000000" w:rsidRPr="007072A0" w:rsidP="007072A0">
      <w:pPr>
        <w:pStyle w:val="Heading1"/>
      </w:pPr>
      <w:bookmarkStart w:id="3" w:name="O_1290994"/>
      <w:bookmarkEnd w:id="3"/>
      <w:r w:rsidRPr="007072A0">
        <w:t>Knowledge Evidence</w:t>
      </w:r>
    </w:p>
    <w:p w:rsidR="00000000" w:rsidRPr="007072A0" w:rsidP="00344780">
      <w:pPr>
        <w:pStyle w:val="BodyText"/>
      </w:pPr>
      <w:r w:rsidRPr="007072A0">
        <w:t>To be competent in this unit, a candidate must demonstrate knowledge of:</w:t>
      </w:r>
    </w:p>
    <w:p w:rsidR="00000000" w:rsidRPr="007072A0" w:rsidP="007072A0">
      <w:pPr>
        <w:pStyle w:val="ListBullet"/>
      </w:pPr>
      <w:r w:rsidRPr="007072A0">
        <w:t>compliance requirements of Australian Standards for preparing sur</w:t>
      </w:r>
      <w:r w:rsidRPr="007072A0">
        <w:t>faces for tiling</w:t>
      </w:r>
    </w:p>
    <w:p w:rsidR="00000000" w:rsidRPr="007072A0" w:rsidP="007072A0">
      <w:pPr>
        <w:pStyle w:val="ListBullet"/>
      </w:pPr>
      <w:r w:rsidRPr="007072A0">
        <w:t>workplace quality policies and standards for preparing surfaces for tiling</w:t>
      </w:r>
    </w:p>
    <w:p w:rsidR="00000000" w:rsidRPr="007072A0" w:rsidP="007072A0">
      <w:pPr>
        <w:pStyle w:val="ListBullet"/>
      </w:pPr>
      <w:r w:rsidRPr="007072A0">
        <w:t>safety requirements for preparing surfaces for tiling, including:</w:t>
      </w:r>
    </w:p>
    <w:p w:rsidR="00000000" w:rsidRPr="007072A0" w:rsidP="007072A0">
      <w:pPr>
        <w:pStyle w:val="ListBullet2"/>
      </w:pPr>
      <w:r w:rsidRPr="007072A0">
        <w:t xml:space="preserve">job safety analyses and/or safe work method statements in accordance with Safe Work Australia </w:t>
      </w:r>
      <w:r w:rsidRPr="007072A0">
        <w:rPr>
          <w:rStyle w:val="Emphasis"/>
        </w:rPr>
        <w:t>Cod</w:t>
      </w:r>
      <w:r w:rsidRPr="007072A0">
        <w:rPr>
          <w:rStyle w:val="Emphasis"/>
        </w:rPr>
        <w:t>e of Practice for Construction Work</w:t>
      </w:r>
      <w:r w:rsidRPr="007072A0">
        <w:t xml:space="preserve"> or state and/or territory equivalent</w:t>
      </w:r>
    </w:p>
    <w:p w:rsidR="00000000" w:rsidRPr="007072A0" w:rsidP="007072A0">
      <w:pPr>
        <w:pStyle w:val="ListBullet2"/>
      </w:pPr>
      <w:r w:rsidRPr="007072A0">
        <w:t>personal protective equipment (PPE)</w:t>
      </w:r>
    </w:p>
    <w:p w:rsidR="00000000" w:rsidRPr="007072A0" w:rsidP="007072A0">
      <w:pPr>
        <w:pStyle w:val="ListBullet"/>
      </w:pPr>
      <w:r w:rsidRPr="007072A0">
        <w:t>environmental requirements for preparing surfaces for tiling</w:t>
      </w:r>
    </w:p>
    <w:p w:rsidR="00000000" w:rsidRPr="007072A0" w:rsidP="007072A0">
      <w:pPr>
        <w:pStyle w:val="ListBullet"/>
      </w:pPr>
      <w:r w:rsidRPr="007072A0">
        <w:t>types and uses of materials storage and environmentally friendly waste management</w:t>
      </w:r>
    </w:p>
    <w:p w:rsidR="00000000" w:rsidRPr="007072A0" w:rsidP="007072A0">
      <w:pPr>
        <w:pStyle w:val="ListBullet"/>
      </w:pPr>
      <w:r w:rsidRPr="007072A0">
        <w:t>types and uses of tools and equipment for preparing surfaces for tiling</w:t>
      </w:r>
    </w:p>
    <w:p w:rsidR="00000000" w:rsidRPr="007072A0" w:rsidP="007072A0">
      <w:pPr>
        <w:pStyle w:val="ListBullet"/>
      </w:pPr>
      <w:r w:rsidRPr="007072A0">
        <w:t>processes for selection of compatible materials for preparing surfaces for tiling</w:t>
      </w:r>
    </w:p>
    <w:p w:rsidR="00000000" w:rsidRPr="007072A0" w:rsidP="007072A0">
      <w:pPr>
        <w:pStyle w:val="ListBullet"/>
      </w:pPr>
      <w:r w:rsidRPr="007072A0">
        <w:t>processes for the calculation of material requirements for preparing surfaces for tiling</w:t>
      </w:r>
    </w:p>
    <w:p w:rsidR="00000000" w:rsidRPr="007072A0" w:rsidP="007072A0">
      <w:pPr>
        <w:pStyle w:val="ListBullet"/>
      </w:pPr>
      <w:r w:rsidRPr="007072A0">
        <w:t>surface prepa</w:t>
      </w:r>
      <w:r w:rsidRPr="007072A0">
        <w:t>ration materials and techniques for:</w:t>
      </w:r>
    </w:p>
    <w:p w:rsidR="00000000" w:rsidRPr="007072A0" w:rsidP="007072A0">
      <w:pPr>
        <w:pStyle w:val="ListBullet2"/>
      </w:pPr>
      <w:r w:rsidRPr="007072A0">
        <w:t>underlay material</w:t>
      </w:r>
    </w:p>
    <w:p w:rsidR="00000000" w:rsidRPr="007072A0" w:rsidP="007072A0">
      <w:pPr>
        <w:pStyle w:val="ListBullet2"/>
      </w:pPr>
      <w:r w:rsidRPr="007072A0">
        <w:t>substrate preparation</w:t>
      </w:r>
    </w:p>
    <w:p w:rsidR="00000000" w:rsidRPr="007072A0" w:rsidP="007072A0">
      <w:pPr>
        <w:pStyle w:val="ListBullet2"/>
      </w:pPr>
      <w:r w:rsidRPr="007072A0">
        <w:t>substrate surface materials.</w:t>
      </w:r>
    </w:p>
    <w:p w:rsidR="00000000" w:rsidRPr="007072A0" w:rsidP="007072A0">
      <w:pPr>
        <w:pStyle w:val="AllowPageBreak"/>
      </w:pPr>
    </w:p>
    <w:p w:rsidR="00000000" w:rsidRPr="007072A0" w:rsidP="007072A0">
      <w:pPr>
        <w:pStyle w:val="Heading1"/>
      </w:pPr>
      <w:bookmarkStart w:id="4" w:name="O_1290993"/>
      <w:bookmarkEnd w:id="4"/>
      <w:r w:rsidRPr="007072A0">
        <w:t>Assessment Conditions</w:t>
      </w:r>
    </w:p>
    <w:p w:rsidR="00000000" w:rsidRPr="007072A0" w:rsidP="00344780">
      <w:pPr>
        <w:pStyle w:val="BodyText"/>
      </w:pPr>
      <w:r w:rsidRPr="007072A0">
        <w:t>Assessors must meet the requirements for assessors contained in the Standards for Registered Training Organi</w:t>
      </w:r>
      <w:r w:rsidRPr="007072A0">
        <w:t>sations.</w:t>
      </w:r>
    </w:p>
    <w:p w:rsidR="00000000" w:rsidRPr="007072A0" w:rsidP="00344780">
      <w:pPr>
        <w:pStyle w:val="BodyText"/>
      </w:pPr>
      <w:r w:rsidRPr="007072A0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7072A0" w:rsidP="007072A0">
      <w:pPr>
        <w:pStyle w:val="Heading1"/>
      </w:pPr>
      <w:bookmarkStart w:id="5" w:name="O_1291006"/>
      <w:bookmarkEnd w:id="5"/>
      <w:r w:rsidRPr="007072A0">
        <w:t>Links</w:t>
      </w:r>
    </w:p>
    <w:p w:rsidR="00000000" w:rsidRPr="007072A0" w:rsidP="00344780">
      <w:pPr>
        <w:pStyle w:val="BodyText"/>
      </w:pPr>
      <w:r w:rsidRPr="007072A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365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72A0" w:rsidP="007072A0"/>
    <w:sectPr w:rsidSect="007072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0" w:rsidRPr="00344780" w:rsidP="00344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80" w:rsidP="00707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4780" w:rsidP="00707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44780" w:rsidP="00707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2A0" w:rsidRPr="00344780" w:rsidP="00344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80" w:rsidRPr="002D2AF8" w:rsidP="00707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CPCCWF3001 Prepare surfaces for tiling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44780" w:rsidP="00707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74C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EEA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067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2A0"/>
  </w:style>
  <w:style w:type="character" w:customStyle="1" w:styleId="Heading1Char">
    <w:name w:val="Heading 1 Char"/>
    <w:basedOn w:val="DefaultParagraphFont"/>
    <w:link w:val="Heading1"/>
    <w:rsid w:val="00707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2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72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72A0"/>
    <w:rPr>
      <w:i/>
    </w:rPr>
  </w:style>
  <w:style w:type="paragraph" w:customStyle="1" w:styleId="SuperHeading">
    <w:name w:val="SuperHeading"/>
    <w:basedOn w:val="Normal"/>
    <w:rsid w:val="00707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72A0"/>
    <w:rPr>
      <w:b/>
      <w:spacing w:val="0"/>
    </w:rPr>
  </w:style>
  <w:style w:type="paragraph" w:customStyle="1" w:styleId="SuperTitle">
    <w:name w:val="SuperTitle"/>
    <w:basedOn w:val="Title"/>
    <w:rsid w:val="00707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2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7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2A0"/>
  </w:style>
  <w:style w:type="paragraph" w:styleId="TableofFigures">
    <w:name w:val="table of figures"/>
    <w:basedOn w:val="Normal"/>
    <w:next w:val="Normal"/>
    <w:semiHidden/>
    <w:rsid w:val="00707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2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2A0"/>
    <w:rPr>
      <w:rFonts w:ascii="Wingdings" w:hAnsi="Wingdings"/>
    </w:rPr>
  </w:style>
  <w:style w:type="paragraph" w:customStyle="1" w:styleId="TableHeading">
    <w:name w:val="Table Heading"/>
    <w:basedOn w:val="HeadingBase"/>
    <w:rsid w:val="00707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2A0"/>
    <w:rPr>
      <w:color w:val="0033CC"/>
      <w:u w:val="none"/>
    </w:rPr>
  </w:style>
  <w:style w:type="paragraph" w:customStyle="1" w:styleId="BodyTextRight">
    <w:name w:val="Body Text Right"/>
    <w:basedOn w:val="BodyText"/>
    <w:rsid w:val="00707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2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2A0"/>
    <w:rPr>
      <w:sz w:val="32"/>
    </w:rPr>
  </w:style>
  <w:style w:type="paragraph" w:customStyle="1" w:styleId="HeadingProcedure">
    <w:name w:val="Heading Procedure"/>
    <w:basedOn w:val="HeadingBase"/>
    <w:next w:val="Normal"/>
    <w:rsid w:val="00707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2A0"/>
    <w:pPr>
      <w:spacing w:before="60" w:after="60"/>
    </w:pPr>
  </w:style>
  <w:style w:type="paragraph" w:styleId="ListContinue">
    <w:name w:val="List Continue"/>
    <w:basedOn w:val="List"/>
    <w:rsid w:val="007072A0"/>
    <w:pPr>
      <w:ind w:firstLine="0"/>
    </w:pPr>
  </w:style>
  <w:style w:type="paragraph" w:customStyle="1" w:styleId="ListNote">
    <w:name w:val="List Note"/>
    <w:basedOn w:val="List"/>
    <w:rsid w:val="00707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2A0"/>
    <w:rPr>
      <w:rFonts w:ascii="Courier New" w:hAnsi="Courier New"/>
    </w:rPr>
  </w:style>
  <w:style w:type="paragraph" w:customStyle="1" w:styleId="NoteBullet">
    <w:name w:val="Note Bullet"/>
    <w:basedOn w:val="Note"/>
    <w:rsid w:val="00707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2A0"/>
    <w:rPr>
      <w:b/>
      <w:smallCaps/>
    </w:rPr>
  </w:style>
  <w:style w:type="paragraph" w:customStyle="1" w:styleId="TableListNumber">
    <w:name w:val="Table List Number"/>
    <w:basedOn w:val="ListNumber"/>
    <w:rsid w:val="00707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2A0"/>
    <w:pPr>
      <w:numPr>
        <w:numId w:val="9"/>
      </w:numPr>
    </w:pPr>
  </w:style>
  <w:style w:type="paragraph" w:customStyle="1" w:styleId="ListAlpha2">
    <w:name w:val="List Alpha 2"/>
    <w:basedOn w:val="List2"/>
    <w:rsid w:val="007072A0"/>
    <w:pPr>
      <w:numPr>
        <w:numId w:val="8"/>
      </w:numPr>
    </w:pPr>
  </w:style>
  <w:style w:type="paragraph" w:styleId="List2">
    <w:name w:val="List 2"/>
    <w:basedOn w:val="BodyText"/>
    <w:rsid w:val="00707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2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2A0"/>
    <w:pPr>
      <w:numPr>
        <w:numId w:val="4"/>
      </w:numPr>
    </w:pPr>
  </w:style>
  <w:style w:type="paragraph" w:styleId="ListContinue2">
    <w:name w:val="List Continue 2"/>
    <w:basedOn w:val="List2"/>
    <w:rsid w:val="007072A0"/>
    <w:pPr>
      <w:ind w:firstLine="0"/>
    </w:pPr>
  </w:style>
  <w:style w:type="paragraph" w:styleId="ListContinue3">
    <w:name w:val="List Continue 3"/>
    <w:basedOn w:val="List3"/>
    <w:rsid w:val="007072A0"/>
    <w:pPr>
      <w:ind w:left="1021" w:firstLine="0"/>
    </w:pPr>
  </w:style>
  <w:style w:type="paragraph" w:styleId="ListContinue4">
    <w:name w:val="List Continue 4"/>
    <w:basedOn w:val="List4"/>
    <w:rsid w:val="007072A0"/>
    <w:pPr>
      <w:ind w:firstLine="0"/>
    </w:pPr>
  </w:style>
  <w:style w:type="paragraph" w:styleId="ListContinue5">
    <w:name w:val="List Continue 5"/>
    <w:basedOn w:val="List5"/>
    <w:rsid w:val="007072A0"/>
    <w:pPr>
      <w:ind w:firstLine="0"/>
    </w:pPr>
  </w:style>
  <w:style w:type="paragraph" w:styleId="ListNumber3">
    <w:name w:val="List Number 3"/>
    <w:basedOn w:val="List3"/>
    <w:rsid w:val="007072A0"/>
    <w:pPr>
      <w:numPr>
        <w:numId w:val="5"/>
      </w:numPr>
    </w:pPr>
  </w:style>
  <w:style w:type="paragraph" w:styleId="ListNumber4">
    <w:name w:val="List Number 4"/>
    <w:basedOn w:val="List4"/>
    <w:rsid w:val="007072A0"/>
    <w:pPr>
      <w:numPr>
        <w:numId w:val="6"/>
      </w:numPr>
    </w:pPr>
  </w:style>
  <w:style w:type="paragraph" w:styleId="ListNumber5">
    <w:name w:val="List Number 5"/>
    <w:basedOn w:val="List5"/>
    <w:rsid w:val="007072A0"/>
    <w:pPr>
      <w:numPr>
        <w:numId w:val="7"/>
      </w:numPr>
    </w:pPr>
  </w:style>
  <w:style w:type="paragraph" w:styleId="BlockText">
    <w:name w:val="Block Text"/>
    <w:basedOn w:val="Normal"/>
    <w:rsid w:val="00707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2A0"/>
    <w:rPr>
      <w:sz w:val="16"/>
      <w:vertAlign w:val="superscript"/>
    </w:rPr>
  </w:style>
  <w:style w:type="character" w:customStyle="1" w:styleId="Symbols">
    <w:name w:val="Symbols"/>
    <w:basedOn w:val="DefaultParagraphFont"/>
    <w:rsid w:val="007072A0"/>
    <w:rPr>
      <w:rFonts w:ascii="Symbol" w:hAnsi="Symbol"/>
    </w:rPr>
  </w:style>
  <w:style w:type="character" w:customStyle="1" w:styleId="MenuOptions">
    <w:name w:val="Menu Options"/>
    <w:basedOn w:val="DefaultParagraphFont"/>
    <w:rsid w:val="00707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2A0"/>
    <w:rPr>
      <w:b/>
    </w:rPr>
  </w:style>
  <w:style w:type="character" w:customStyle="1" w:styleId="Underlined">
    <w:name w:val="Underlined"/>
    <w:basedOn w:val="DefaultParagraphFont"/>
    <w:rsid w:val="007072A0"/>
    <w:rPr>
      <w:u w:val="single"/>
    </w:rPr>
  </w:style>
  <w:style w:type="paragraph" w:customStyle="1" w:styleId="TableBodyTextRight">
    <w:name w:val="Table Body Text Right"/>
    <w:basedOn w:val="TableBodyText"/>
    <w:rsid w:val="00707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2A0"/>
    <w:rPr>
      <w:sz w:val="18"/>
    </w:rPr>
  </w:style>
  <w:style w:type="paragraph" w:customStyle="1" w:styleId="BodySmallRight">
    <w:name w:val="Body Small Right"/>
    <w:basedOn w:val="BodyTextRight"/>
    <w:rsid w:val="007072A0"/>
    <w:rPr>
      <w:sz w:val="18"/>
      <w:szCs w:val="18"/>
    </w:rPr>
  </w:style>
  <w:style w:type="paragraph" w:customStyle="1" w:styleId="MarginEdition">
    <w:name w:val="Margin Edition"/>
    <w:basedOn w:val="MarginNote"/>
    <w:rsid w:val="00707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2A0"/>
    <w:rPr>
      <w:sz w:val="2"/>
      <w:szCs w:val="2"/>
    </w:rPr>
  </w:style>
  <w:style w:type="character" w:customStyle="1" w:styleId="Small">
    <w:name w:val="Small"/>
    <w:basedOn w:val="DefaultParagraphFont"/>
    <w:rsid w:val="007072A0"/>
    <w:rPr>
      <w:sz w:val="16"/>
    </w:rPr>
  </w:style>
  <w:style w:type="paragraph" w:customStyle="1" w:styleId="WideTable">
    <w:name w:val="Wide Table"/>
    <w:basedOn w:val="Normal"/>
    <w:rsid w:val="00707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2A0"/>
  </w:style>
  <w:style w:type="paragraph" w:styleId="Quote">
    <w:name w:val="Quote"/>
    <w:basedOn w:val="Heading1"/>
    <w:link w:val="QuoteChar"/>
    <w:qFormat/>
    <w:rsid w:val="00707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2A0"/>
    <w:pPr>
      <w:pageBreakBefore/>
    </w:pPr>
  </w:style>
  <w:style w:type="paragraph" w:customStyle="1" w:styleId="Border">
    <w:name w:val="Border"/>
    <w:basedOn w:val="Normal"/>
    <w:qFormat/>
    <w:rsid w:val="00707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2A0"/>
    <w:rPr>
      <w:u w:val="single"/>
    </w:rPr>
  </w:style>
  <w:style w:type="character" w:customStyle="1" w:styleId="BoldandItalics">
    <w:name w:val="Bold and Italics"/>
    <w:qFormat/>
    <w:rsid w:val="007072A0"/>
    <w:rPr>
      <w:b/>
      <w:i/>
      <w:u w:val="none"/>
    </w:rPr>
  </w:style>
  <w:style w:type="paragraph" w:styleId="BalloonText">
    <w:name w:val="Balloon Text"/>
    <w:basedOn w:val="Normal"/>
    <w:link w:val="BalloonTextChar"/>
    <w:rsid w:val="00707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2A0"/>
    <w:pPr>
      <w:spacing w:before="0" w:after="0"/>
    </w:pPr>
  </w:style>
  <w:style w:type="paragraph" w:customStyle="1" w:styleId="BodyTextBold">
    <w:name w:val="Body Text Bold"/>
    <w:basedOn w:val="BodyText"/>
    <w:qFormat/>
    <w:rsid w:val="007072A0"/>
    <w:rPr>
      <w:b/>
    </w:rPr>
  </w:style>
  <w:style w:type="character" w:styleId="Hyperlink">
    <w:name w:val="Hyperlink"/>
    <w:basedOn w:val="DefaultParagraphFont"/>
    <w:uiPriority w:val="99"/>
    <w:unhideWhenUsed/>
    <w:rsid w:val="00344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2450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CPCCWF3001 Prepare surfaces for tiling application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