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310B" w:rsidP="0051310B">
      <w:pPr>
        <w:pStyle w:val="Title"/>
      </w:pPr>
      <w:r>
        <w:fldChar w:fldCharType="begin"/>
      </w:r>
      <w:r>
        <w:instrText xml:space="preserve"> TITLE   \* MERGEFORMAT </w:instrText>
      </w:r>
      <w:r>
        <w:fldChar w:fldCharType="separate"/>
      </w:r>
      <w:r>
        <w:t>CPCCST4005 Prepare drawings for heritage works</w:t>
      </w:r>
      <w:r>
        <w:fldChar w:fldCharType="end"/>
      </w:r>
    </w:p>
    <w:p w:rsidR="0051310B" w:rsidP="0051310B">
      <w:pPr>
        <w:pStyle w:val="Version"/>
        <w:sectPr w:rsidSect="006D72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D7278" w:rsidP="006D7278">
      <w:pPr>
        <w:pStyle w:val="SuperHeading"/>
      </w:pPr>
      <w:r w:rsidRPr="006D7278">
        <w:t>CPCCST4005 Prepare drawings for heritage works</w:t>
      </w:r>
    </w:p>
    <w:p w:rsidR="00000000" w:rsidRPr="006D7278" w:rsidP="006D7278">
      <w:pPr>
        <w:pStyle w:val="Heading1"/>
      </w:pPr>
      <w:bookmarkStart w:id="1" w:name="O_1161024"/>
      <w:bookmarkEnd w:id="1"/>
      <w:r w:rsidRPr="006D7278">
        <w:t>Modification History</w:t>
      </w:r>
    </w:p>
    <w:tbl>
      <w:tblPr>
        <w:tblW w:w="0" w:type="auto"/>
        <w:tblLayout w:type="fixed"/>
        <w:tblCellMar>
          <w:left w:w="62" w:type="dxa"/>
          <w:right w:w="62" w:type="dxa"/>
        </w:tblCellMar>
        <w:tblLook w:val="0000"/>
      </w:tblPr>
      <w:tblGrid>
        <w:gridCol w:w="1066"/>
        <w:gridCol w:w="7944"/>
      </w:tblGrid>
      <w:tr w:rsidTr="006D7278">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Release 2</w:t>
            </w:r>
          </w:p>
        </w:tc>
        <w:tc>
          <w:tcPr>
            <w:tcW w:w="7944" w:type="dxa"/>
            <w:tcBorders>
              <w:top w:val="nil"/>
              <w:left w:val="nil"/>
              <w:bottom w:val="nil"/>
              <w:right w:val="nil"/>
            </w:tcBorders>
            <w:tcMar>
              <w:top w:w="0" w:type="dxa"/>
              <w:left w:w="62" w:type="dxa"/>
              <w:bottom w:w="0" w:type="dxa"/>
              <w:right w:w="62" w:type="dxa"/>
            </w:tcMar>
          </w:tcPr>
          <w:p w:rsidR="00000000" w:rsidRPr="006D7278" w:rsidP="006D7278">
            <w:pPr>
              <w:pStyle w:val="BodyText"/>
            </w:pPr>
            <w:r w:rsidRPr="006D7278">
              <w:t>This version first released with CPC Construction, Plumbing and Services Training Package Release 5.1.</w:t>
            </w:r>
          </w:p>
          <w:p w:rsidR="00000000" w:rsidP="006D7278">
            <w:pPr>
              <w:pStyle w:val="BodyText"/>
              <w:rPr>
                <w:lang w:val="en-NZ"/>
              </w:rPr>
            </w:pPr>
            <w:r w:rsidRPr="006D7278">
              <w:t>Unit Sector changed. Element 2.4 added to Performance Criteria. Foundation Skills formatted for clarity.</w:t>
            </w:r>
          </w:p>
        </w:tc>
      </w:tr>
      <w:tr w:rsidTr="006D7278">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Release</w:t>
            </w:r>
            <w:r w:rsidRPr="006D7278">
              <w:t xml:space="preserve"> 1</w:t>
            </w:r>
          </w:p>
        </w:tc>
        <w:tc>
          <w:tcPr>
            <w:tcW w:w="7944" w:type="dxa"/>
            <w:tcBorders>
              <w:top w:val="nil"/>
              <w:left w:val="nil"/>
              <w:bottom w:val="nil"/>
              <w:right w:val="nil"/>
            </w:tcBorders>
            <w:tcMar>
              <w:top w:w="0" w:type="dxa"/>
              <w:left w:w="62" w:type="dxa"/>
              <w:bottom w:w="0" w:type="dxa"/>
              <w:right w:w="62" w:type="dxa"/>
            </w:tcMar>
          </w:tcPr>
          <w:p w:rsidR="00000000" w:rsidRPr="006D7278" w:rsidP="006D7278">
            <w:pPr>
              <w:pStyle w:val="BodyText"/>
            </w:pPr>
            <w:r w:rsidRPr="006D7278">
              <w:t>This version first released with CPC Construction, Plumbing and Services Training Package Release 5.0.</w:t>
            </w:r>
          </w:p>
          <w:p w:rsidR="00000000" w:rsidRPr="006D7278" w:rsidP="006D7278">
            <w:pPr>
              <w:pStyle w:val="BodyText"/>
            </w:pPr>
            <w:r w:rsidRPr="006D7278">
              <w:t>Supersedes and equivalent to CPCCBC4037A Prepare drawings for heritage works.   Updated to meet the Standards for Training Packages 2012.</w:t>
            </w:r>
          </w:p>
        </w:tc>
      </w:tr>
    </w:tbl>
    <w:p w:rsidR="00000000" w:rsidRPr="006D7278" w:rsidP="006D7278">
      <w:pPr>
        <w:pStyle w:val="BodyText"/>
      </w:pPr>
    </w:p>
    <w:p w:rsidR="00000000" w:rsidRPr="006D7278" w:rsidP="006D7278">
      <w:pPr>
        <w:pStyle w:val="AllowPageBreak"/>
      </w:pPr>
    </w:p>
    <w:p w:rsidR="00000000" w:rsidRPr="006D7278" w:rsidP="006D7278">
      <w:pPr>
        <w:pStyle w:val="Heading1"/>
      </w:pPr>
      <w:bookmarkStart w:id="2" w:name="O_1161023"/>
      <w:bookmarkEnd w:id="2"/>
      <w:r w:rsidRPr="006D7278">
        <w:t>Application</w:t>
      </w:r>
    </w:p>
    <w:p w:rsidR="00000000" w:rsidRPr="006D7278" w:rsidP="0051310B">
      <w:pPr>
        <w:pStyle w:val="BodyText"/>
      </w:pPr>
      <w:r w:rsidRPr="006D7278">
        <w:t>This unit of competency specifies the skills and knowledge required to prepare drawings for heritage works associated with historic buildings and structures of cultural significance. To successfully prepare drawings requires a comprehe</w:t>
      </w:r>
      <w:r w:rsidRPr="006D7278">
        <w:t>nsive understanding of architectural forms, specifically period architecture, and appropriate drafting techniques. The unit requires the ability to interpret specifications for drawings, measure and calculate dimensions accurately, and work to scale.</w:t>
      </w:r>
    </w:p>
    <w:p w:rsidR="00000000" w:rsidRPr="006D7278" w:rsidP="0051310B">
      <w:pPr>
        <w:pStyle w:val="BodyText"/>
      </w:pPr>
      <w:r w:rsidRPr="006D7278">
        <w:t>The u</w:t>
      </w:r>
      <w:r w:rsidRPr="006D7278">
        <w:t>nit of competency supports builders, project managers and related construction industry professionals responsible for heritage works during residential and commercial projects.</w:t>
      </w:r>
    </w:p>
    <w:p w:rsidR="00000000" w:rsidRPr="006D7278" w:rsidP="0051310B">
      <w:pPr>
        <w:pStyle w:val="BodyText"/>
      </w:pPr>
      <w:r w:rsidRPr="006D7278">
        <w:t>No licensing, legislative or certification requirements apply to this unit at t</w:t>
      </w:r>
      <w:r w:rsidRPr="006D7278">
        <w:t>he time of publication.</w:t>
      </w:r>
    </w:p>
    <w:p w:rsidR="00000000" w:rsidRPr="006D7278" w:rsidP="006D7278">
      <w:pPr>
        <w:pStyle w:val="Heading1"/>
      </w:pPr>
      <w:bookmarkStart w:id="3" w:name="O_1161022"/>
      <w:bookmarkEnd w:id="3"/>
      <w:r w:rsidRPr="006D7278">
        <w:t>Pre-requisite Unit</w:t>
      </w:r>
    </w:p>
    <w:p w:rsidR="00000000" w:rsidRPr="006D7278" w:rsidP="0051310B">
      <w:pPr>
        <w:pStyle w:val="BodyText"/>
      </w:pPr>
      <w:r w:rsidRPr="006D7278">
        <w:t>Nil.</w:t>
      </w:r>
    </w:p>
    <w:p w:rsidR="00000000" w:rsidRPr="006D7278" w:rsidP="006D7278">
      <w:pPr>
        <w:pStyle w:val="Heading1"/>
      </w:pPr>
      <w:bookmarkStart w:id="4" w:name="O_1161021"/>
      <w:bookmarkEnd w:id="4"/>
      <w:r w:rsidRPr="006D7278">
        <w:t>Unit Sector</w:t>
      </w:r>
    </w:p>
    <w:p w:rsidR="00000000" w:rsidRPr="006D7278" w:rsidP="0051310B">
      <w:pPr>
        <w:pStyle w:val="BodyText"/>
      </w:pPr>
      <w:r w:rsidRPr="006D7278">
        <w:t>Construction</w:t>
      </w:r>
    </w:p>
    <w:p w:rsidR="00000000" w:rsidRPr="006D7278" w:rsidP="006D7278">
      <w:pPr>
        <w:pStyle w:val="Heading1"/>
      </w:pPr>
      <w:bookmarkStart w:id="5" w:name="O_1161020"/>
      <w:bookmarkEnd w:id="5"/>
      <w:r w:rsidRPr="006D7278">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6D727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Performance criteria describe what needs to be done to demonstrate achievement of the element.</w:t>
            </w:r>
          </w:p>
        </w:tc>
      </w:tr>
      <w:tr w:rsidTr="006D727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1</w:t>
            </w:r>
          </w:p>
        </w:tc>
        <w:tc>
          <w:tcPr>
            <w:tcW w:w="2357" w:type="dxa"/>
            <w:vMerge w:val="restart"/>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Plan and prepare for drawing requirements.</w:t>
            </w:r>
          </w:p>
        </w:tc>
        <w:tc>
          <w:tcPr>
            <w:tcW w:w="804"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1.1</w:t>
            </w:r>
          </w:p>
        </w:tc>
        <w:tc>
          <w:tcPr>
            <w:tcW w:w="5659"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Identify specifications for drawing from request or conservation authority requirements.</w:t>
            </w:r>
          </w:p>
        </w:tc>
      </w:tr>
      <w:tr w:rsidTr="006D72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1.2</w:t>
            </w:r>
          </w:p>
        </w:tc>
        <w:tc>
          <w:tcPr>
            <w:tcW w:w="5659"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 xml:space="preserve">Determine dimensions of the historical or significant building in accordance with appropriate methods, taking into account the type of structure, access to details and previous drawings available, if applicable. </w:t>
            </w:r>
          </w:p>
        </w:tc>
      </w:tr>
      <w:tr w:rsidTr="006D72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1.3</w:t>
            </w:r>
          </w:p>
        </w:tc>
        <w:tc>
          <w:tcPr>
            <w:tcW w:w="5659"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Determine method of recording featur</w:t>
            </w:r>
            <w:r w:rsidRPr="006D7278">
              <w:t>e details in accordance with nature of the feature, location and accessibility.</w:t>
            </w:r>
          </w:p>
        </w:tc>
      </w:tr>
      <w:tr w:rsidTr="006D72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1.4</w:t>
            </w:r>
          </w:p>
        </w:tc>
        <w:tc>
          <w:tcPr>
            <w:tcW w:w="5659"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Determine and apply method and system of recording identification, location and dimensional information in accordance with requested drawing requirements.</w:t>
            </w:r>
          </w:p>
        </w:tc>
      </w:tr>
      <w:tr w:rsidTr="006D72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1.5</w:t>
            </w:r>
          </w:p>
        </w:tc>
        <w:tc>
          <w:tcPr>
            <w:tcW w:w="5659"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Identify, list and use equipment and instruments in accordance with recording task requirements.</w:t>
            </w:r>
          </w:p>
        </w:tc>
      </w:tr>
      <w:tr w:rsidTr="006D727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D7278">
            <w:pPr>
              <w:pStyle w:val="BodyText"/>
              <w:rPr>
                <w:lang w:val="en-NZ"/>
              </w:rPr>
            </w:pPr>
          </w:p>
        </w:tc>
      </w:tr>
      <w:tr w:rsidTr="006D727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2</w:t>
            </w:r>
          </w:p>
        </w:tc>
        <w:tc>
          <w:tcPr>
            <w:tcW w:w="2357" w:type="dxa"/>
            <w:vMerge w:val="restart"/>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Organise information for drawing preparation.</w:t>
            </w:r>
          </w:p>
        </w:tc>
        <w:tc>
          <w:tcPr>
            <w:tcW w:w="804"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2.1</w:t>
            </w:r>
          </w:p>
        </w:tc>
        <w:tc>
          <w:tcPr>
            <w:tcW w:w="5659"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Gather information to identify and group all recorded details associated with each area or section of</w:t>
            </w:r>
            <w:r w:rsidRPr="006D7278">
              <w:t xml:space="preserve"> the building or structure.</w:t>
            </w:r>
          </w:p>
        </w:tc>
      </w:tr>
      <w:tr w:rsidTr="006D72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2.2</w:t>
            </w:r>
          </w:p>
        </w:tc>
        <w:tc>
          <w:tcPr>
            <w:tcW w:w="5659"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Determine size of the drawing and scale to be used in accordance with dimensions of building, structure or section.</w:t>
            </w:r>
          </w:p>
        </w:tc>
      </w:tr>
      <w:tr w:rsidTr="006D72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2.3</w:t>
            </w:r>
          </w:p>
        </w:tc>
        <w:tc>
          <w:tcPr>
            <w:tcW w:w="5659"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 xml:space="preserve">Identify and locate sketches, tracings or photographs of recorded features with other recorded information related to feature work. </w:t>
            </w:r>
          </w:p>
        </w:tc>
      </w:tr>
      <w:tr w:rsidTr="006D7278">
        <w:tblPrEx>
          <w:tblW w:w="0" w:type="auto"/>
          <w:tblLayout w:type="fixed"/>
          <w:tblCellMar>
            <w:left w:w="62" w:type="dxa"/>
            <w:right w:w="62" w:type="dxa"/>
          </w:tblCellMar>
          <w:tblLook w:val="0000"/>
        </w:tblPrEx>
        <w:tc>
          <w:tcPr>
            <w:tcW w:w="31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2.4</w:t>
            </w:r>
          </w:p>
        </w:tc>
        <w:tc>
          <w:tcPr>
            <w:tcW w:w="5659"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Identify and locate sketches, tracings or photographs of recorded features with other recorded information related t</w:t>
            </w:r>
            <w:r w:rsidRPr="006D7278">
              <w:t>o feature work.</w:t>
            </w:r>
          </w:p>
        </w:tc>
      </w:tr>
      <w:tr w:rsidTr="006D727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D7278">
            <w:pPr>
              <w:pStyle w:val="BodyText"/>
              <w:rPr>
                <w:lang w:val="en-NZ"/>
              </w:rPr>
            </w:pPr>
          </w:p>
        </w:tc>
      </w:tr>
      <w:tr w:rsidTr="006D727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3</w:t>
            </w:r>
          </w:p>
        </w:tc>
        <w:tc>
          <w:tcPr>
            <w:tcW w:w="2357" w:type="dxa"/>
            <w:vMerge w:val="restart"/>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Draw or develop orthographic description.</w:t>
            </w:r>
          </w:p>
        </w:tc>
        <w:tc>
          <w:tcPr>
            <w:tcW w:w="804"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3.1</w:t>
            </w:r>
          </w:p>
        </w:tc>
        <w:tc>
          <w:tcPr>
            <w:tcW w:w="5659"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Draw or develop block layout of views and designed spacings, where applicable, to planned layout and scale accurately to recorded or calculated dimensions.</w:t>
            </w:r>
          </w:p>
        </w:tc>
      </w:tr>
      <w:tr w:rsidTr="006D72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3.2</w:t>
            </w:r>
          </w:p>
        </w:tc>
        <w:tc>
          <w:tcPr>
            <w:tcW w:w="5659"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Detail orth</w:t>
            </w:r>
            <w:r w:rsidRPr="006D7278">
              <w:t xml:space="preserve">ographic description views to show visible lines of structure and elements as seen with each view to correct scale representation of recorded dimensions. </w:t>
            </w:r>
          </w:p>
        </w:tc>
      </w:tr>
      <w:tr w:rsidTr="006D72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3.3</w:t>
            </w:r>
          </w:p>
        </w:tc>
        <w:tc>
          <w:tcPr>
            <w:tcW w:w="5659"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Show architectural drawing conventions, symbols and hatching, on drawings in accordance with r</w:t>
            </w:r>
            <w:r w:rsidRPr="006D7278">
              <w:t xml:space="preserve">elevant </w:t>
            </w:r>
            <w:r w:rsidRPr="006D7278">
              <w:t>Australian standards.</w:t>
            </w:r>
          </w:p>
        </w:tc>
      </w:tr>
      <w:tr w:rsidTr="006D72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3.4</w:t>
            </w:r>
          </w:p>
        </w:tc>
        <w:tc>
          <w:tcPr>
            <w:tcW w:w="5659"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Produce plans of large buildings by use of grids, where applicable, to provide cross-referencing and dimensioning by coordinates.</w:t>
            </w:r>
          </w:p>
        </w:tc>
      </w:tr>
      <w:tr w:rsidTr="006D72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3.5</w:t>
            </w:r>
          </w:p>
        </w:tc>
        <w:tc>
          <w:tcPr>
            <w:tcW w:w="5659"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Locate dimensions and reference notations relevantly on drawings to provide full detailed descriptions as required with each view.</w:t>
            </w:r>
          </w:p>
        </w:tc>
      </w:tr>
      <w:tr w:rsidTr="006D72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3.6</w:t>
            </w:r>
          </w:p>
        </w:tc>
        <w:tc>
          <w:tcPr>
            <w:tcW w:w="5659"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Provide appendices and reference details of drawing with drawing in accordance with overall request.</w:t>
            </w:r>
          </w:p>
        </w:tc>
      </w:tr>
      <w:tr w:rsidTr="006D727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D7278">
            <w:pPr>
              <w:pStyle w:val="BodyText"/>
              <w:rPr>
                <w:lang w:val="en-NZ"/>
              </w:rPr>
            </w:pPr>
          </w:p>
        </w:tc>
      </w:tr>
      <w:tr w:rsidTr="006D727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4</w:t>
            </w:r>
          </w:p>
        </w:tc>
        <w:tc>
          <w:tcPr>
            <w:tcW w:w="2357" w:type="dxa"/>
            <w:vMerge w:val="restart"/>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Draw or develop sectional detailed drawings.</w:t>
            </w:r>
          </w:p>
        </w:tc>
        <w:tc>
          <w:tcPr>
            <w:tcW w:w="804"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4.1</w:t>
            </w:r>
          </w:p>
        </w:tc>
        <w:tc>
          <w:tcPr>
            <w:tcW w:w="5659"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 xml:space="preserve">Draw or develop sectional detailed drawings to scale to show detailed structural description of relationship between elements in accordance with recorded dimensions. </w:t>
            </w:r>
          </w:p>
        </w:tc>
      </w:tr>
      <w:tr w:rsidTr="006D72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4.2</w:t>
            </w:r>
          </w:p>
        </w:tc>
        <w:tc>
          <w:tcPr>
            <w:tcW w:w="5659"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Show architectural hatching on dr</w:t>
            </w:r>
            <w:r w:rsidRPr="006D7278">
              <w:t>awings to represent materials, in accordance with relevant Australian standards.</w:t>
            </w:r>
          </w:p>
        </w:tc>
      </w:tr>
      <w:tr w:rsidTr="006D72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4.3</w:t>
            </w:r>
          </w:p>
        </w:tc>
        <w:tc>
          <w:tcPr>
            <w:tcW w:w="5659"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Locate dimensions and reference notation on drawings to provide full details of sectional description.</w:t>
            </w:r>
          </w:p>
        </w:tc>
      </w:tr>
      <w:tr w:rsidTr="006D727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D7278">
            <w:pPr>
              <w:pStyle w:val="BodyText"/>
              <w:rPr>
                <w:lang w:val="en-NZ"/>
              </w:rPr>
            </w:pPr>
          </w:p>
        </w:tc>
      </w:tr>
      <w:tr w:rsidTr="006D727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5</w:t>
            </w:r>
          </w:p>
        </w:tc>
        <w:tc>
          <w:tcPr>
            <w:tcW w:w="2357" w:type="dxa"/>
            <w:vMerge w:val="restart"/>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Develop detailed drawings of feature work.</w:t>
            </w:r>
          </w:p>
        </w:tc>
        <w:tc>
          <w:tcPr>
            <w:tcW w:w="804"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5.1</w:t>
            </w:r>
          </w:p>
        </w:tc>
        <w:tc>
          <w:tcPr>
            <w:tcW w:w="5659"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Enlarge photographic recording of feature work shape and design by photocopying to provide more realistic size for analysis and reproduction.</w:t>
            </w:r>
          </w:p>
        </w:tc>
      </w:tr>
      <w:tr w:rsidTr="006D72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5.2</w:t>
            </w:r>
          </w:p>
        </w:tc>
        <w:tc>
          <w:tcPr>
            <w:tcW w:w="5659"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Determine gridlines in accordance with actual dimensions of the feature work shape and reproduce to enlarged photocopy.</w:t>
            </w:r>
          </w:p>
        </w:tc>
      </w:tr>
      <w:tr w:rsidTr="006D72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5.3</w:t>
            </w:r>
          </w:p>
        </w:tc>
        <w:tc>
          <w:tcPr>
            <w:tcW w:w="5659"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Examine enlarged photocopy closely for distortion from the photographing process and make necessary adjustments to the design.</w:t>
            </w:r>
          </w:p>
        </w:tc>
      </w:tr>
      <w:tr w:rsidTr="006D72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5.4</w:t>
            </w:r>
          </w:p>
        </w:tc>
        <w:tc>
          <w:tcPr>
            <w:tcW w:w="5659"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Examine tracing recordings in accordance with the whole feature or part thereof and link with other tracings or sketches to ascertain the feature shape to be reproduced.</w:t>
            </w:r>
          </w:p>
        </w:tc>
      </w:tr>
      <w:tr w:rsidTr="006D72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5.5</w:t>
            </w:r>
          </w:p>
        </w:tc>
        <w:tc>
          <w:tcPr>
            <w:tcW w:w="5659"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Develop design shape drawings to produce accurate design to scale with grid lines where applicable.</w:t>
            </w:r>
          </w:p>
        </w:tc>
      </w:tr>
      <w:tr w:rsidTr="006D72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5.6</w:t>
            </w:r>
          </w:p>
        </w:tc>
        <w:tc>
          <w:tcPr>
            <w:tcW w:w="5659"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Produce cross-sectional details accurately to scale, to provide three-dimensional information.</w:t>
            </w:r>
          </w:p>
        </w:tc>
      </w:tr>
      <w:tr w:rsidTr="006D72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5.7</w:t>
            </w:r>
          </w:p>
        </w:tc>
        <w:tc>
          <w:tcPr>
            <w:tcW w:w="5659"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Produce dimensions, reference notation, specifi</w:t>
            </w:r>
            <w:r w:rsidRPr="006D7278">
              <w:t>c location and appendices for drawings in accordance with client request or design aims.</w:t>
            </w:r>
          </w:p>
        </w:tc>
      </w:tr>
      <w:tr w:rsidTr="006D727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D7278">
            <w:pPr>
              <w:pStyle w:val="BodyText"/>
              <w:rPr>
                <w:lang w:val="en-NZ"/>
              </w:rPr>
            </w:pPr>
          </w:p>
        </w:tc>
      </w:tr>
      <w:tr w:rsidTr="006D7278">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6</w:t>
            </w:r>
          </w:p>
        </w:tc>
        <w:tc>
          <w:tcPr>
            <w:tcW w:w="2357" w:type="dxa"/>
            <w:vMerge w:val="restart"/>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Complete work.</w:t>
            </w:r>
          </w:p>
        </w:tc>
        <w:tc>
          <w:tcPr>
            <w:tcW w:w="804"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6.1</w:t>
            </w:r>
          </w:p>
        </w:tc>
        <w:tc>
          <w:tcPr>
            <w:tcW w:w="5659"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Check drawings for accuracy, clarity of line, completeness of drawing and associated dimensions and details.</w:t>
            </w:r>
          </w:p>
        </w:tc>
      </w:tr>
      <w:tr w:rsidTr="006D72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6.2</w:t>
            </w:r>
          </w:p>
        </w:tc>
        <w:tc>
          <w:tcPr>
            <w:tcW w:w="5659"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Make copies in accordance with original request.</w:t>
            </w:r>
          </w:p>
        </w:tc>
      </w:tr>
      <w:tr w:rsidTr="006D7278">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7278">
            <w:pPr>
              <w:pStyle w:val="BodyText"/>
              <w:rPr>
                <w:lang w:val="en-NZ"/>
              </w:rPr>
            </w:pPr>
            <w:r w:rsidRPr="006D7278">
              <w:t>6.3</w:t>
            </w:r>
          </w:p>
        </w:tc>
        <w:tc>
          <w:tcPr>
            <w:tcW w:w="5659" w:type="dxa"/>
            <w:tcBorders>
              <w:top w:val="nil"/>
              <w:left w:val="nil"/>
              <w:bottom w:val="nil"/>
              <w:right w:val="nil"/>
            </w:tcBorders>
            <w:tcMar>
              <w:top w:w="0" w:type="dxa"/>
              <w:left w:w="62" w:type="dxa"/>
              <w:bottom w:w="0" w:type="dxa"/>
              <w:right w:w="62" w:type="dxa"/>
            </w:tcMar>
          </w:tcPr>
          <w:p w:rsidR="00000000" w:rsidRPr="006D7278" w:rsidP="006D7278">
            <w:pPr>
              <w:pStyle w:val="BodyText"/>
            </w:pPr>
            <w:r w:rsidRPr="006D7278">
              <w:t>Record production details and coded reference information.</w:t>
            </w:r>
          </w:p>
        </w:tc>
      </w:tr>
    </w:tbl>
    <w:p w:rsidR="00000000" w:rsidRPr="006D7278" w:rsidP="006D7278">
      <w:pPr>
        <w:pStyle w:val="BodyText"/>
      </w:pPr>
    </w:p>
    <w:p w:rsidR="00000000" w:rsidRPr="006D7278" w:rsidP="006D7278">
      <w:pPr>
        <w:pStyle w:val="AllowPageBreak"/>
      </w:pPr>
    </w:p>
    <w:p w:rsidR="00000000" w:rsidRPr="006D7278" w:rsidP="006D7278">
      <w:pPr>
        <w:pStyle w:val="Heading1"/>
      </w:pPr>
      <w:bookmarkStart w:id="6" w:name="O_1161019"/>
      <w:bookmarkEnd w:id="6"/>
      <w:r w:rsidRPr="006D7278">
        <w:t>Foundation Skills</w:t>
      </w:r>
    </w:p>
    <w:p w:rsidR="00000000" w:rsidRPr="006D7278" w:rsidP="0051310B">
      <w:pPr>
        <w:pStyle w:val="BodyText"/>
      </w:pPr>
      <w:r w:rsidRPr="006D7278">
        <w:t xml:space="preserve">As well as the foundation skills explicit in the performance criteria of this unit, candidates require: </w:t>
      </w:r>
    </w:p>
    <w:p w:rsidR="00000000" w:rsidRPr="006D7278" w:rsidP="006D7278">
      <w:pPr>
        <w:pStyle w:val="ListBullet"/>
      </w:pPr>
      <w:r w:rsidRPr="006D7278">
        <w:t>communication skills to:</w:t>
      </w:r>
    </w:p>
    <w:p w:rsidR="00000000" w:rsidRPr="006D7278" w:rsidP="006D7278">
      <w:pPr>
        <w:pStyle w:val="ListBullet2"/>
      </w:pPr>
      <w:r w:rsidRPr="006D7278">
        <w:t>enable clear and direct communication, using questioning to identify and confirm requirements, share information, listen and</w:t>
      </w:r>
      <w:r w:rsidRPr="006D7278">
        <w:t xml:space="preserve"> understand</w:t>
      </w:r>
    </w:p>
    <w:p w:rsidR="00000000" w:rsidRPr="006D7278" w:rsidP="006D7278">
      <w:pPr>
        <w:pStyle w:val="ListBullet2"/>
      </w:pPr>
      <w:r w:rsidRPr="006D7278">
        <w:t>read and interpret:</w:t>
      </w:r>
    </w:p>
    <w:p w:rsidR="00000000" w:rsidRPr="006D7278" w:rsidP="006D7278">
      <w:pPr>
        <w:pStyle w:val="ListBullet3"/>
      </w:pPr>
      <w:r w:rsidRPr="006D7278">
        <w:t>documentation from a variety of sources</w:t>
      </w:r>
    </w:p>
    <w:p w:rsidR="00000000" w:rsidRPr="006D7278" w:rsidP="006D7278">
      <w:pPr>
        <w:pStyle w:val="ListBullet3"/>
      </w:pPr>
      <w:r w:rsidRPr="006D7278">
        <w:t>plans, specifications and drawings</w:t>
      </w:r>
    </w:p>
    <w:p w:rsidR="00000000" w:rsidRPr="006D7278" w:rsidP="006D7278">
      <w:pPr>
        <w:pStyle w:val="ListBullet"/>
      </w:pPr>
      <w:r w:rsidRPr="006D7278">
        <w:t>written skills to:</w:t>
      </w:r>
    </w:p>
    <w:p w:rsidR="00000000" w:rsidRPr="006D7278" w:rsidP="006D7278">
      <w:pPr>
        <w:pStyle w:val="ListBullet2"/>
      </w:pPr>
      <w:r w:rsidRPr="006D7278">
        <w:t>record relevant information</w:t>
      </w:r>
    </w:p>
    <w:p w:rsidR="00000000" w:rsidRPr="006D7278" w:rsidP="006D7278">
      <w:pPr>
        <w:pStyle w:val="ListBullet"/>
      </w:pPr>
      <w:r w:rsidRPr="006D7278">
        <w:t>numeracy skills to:</w:t>
      </w:r>
    </w:p>
    <w:p w:rsidR="00000000" w:rsidRPr="006D7278" w:rsidP="006D7278">
      <w:pPr>
        <w:pStyle w:val="ListBullet2"/>
      </w:pPr>
      <w:r w:rsidRPr="006D7278">
        <w:t>ability to use instruments and equipment for measuring</w:t>
      </w:r>
    </w:p>
    <w:p w:rsidR="00000000" w:rsidRPr="006D7278" w:rsidP="006D7278">
      <w:pPr>
        <w:pStyle w:val="ListBullet2"/>
      </w:pPr>
      <w:r w:rsidRPr="006D7278">
        <w:t>calculate measurements</w:t>
      </w:r>
    </w:p>
    <w:p w:rsidR="00000000" w:rsidRPr="006D7278" w:rsidP="006D7278">
      <w:pPr>
        <w:pStyle w:val="ListBullet"/>
      </w:pPr>
      <w:r w:rsidRPr="006D7278">
        <w:t>organisational skills to:</w:t>
      </w:r>
    </w:p>
    <w:p w:rsidR="00000000" w:rsidRPr="006D7278" w:rsidP="006D7278">
      <w:pPr>
        <w:pStyle w:val="ListBullet2"/>
      </w:pPr>
      <w:r w:rsidRPr="006D7278">
        <w:t>set out work</w:t>
      </w:r>
    </w:p>
    <w:p w:rsidR="00000000" w:rsidRPr="006D7278" w:rsidP="006D7278">
      <w:pPr>
        <w:pStyle w:val="ListBullet2"/>
      </w:pPr>
      <w:r w:rsidRPr="006D7278">
        <w:t>work to scale.</w:t>
      </w:r>
    </w:p>
    <w:p w:rsidR="00000000" w:rsidRPr="006D7278" w:rsidP="006D7278">
      <w:pPr>
        <w:pStyle w:val="AllowPageBreak"/>
      </w:pPr>
    </w:p>
    <w:p w:rsidR="00000000" w:rsidRPr="006D7278" w:rsidP="006D7278">
      <w:pPr>
        <w:pStyle w:val="Heading1"/>
      </w:pPr>
      <w:bookmarkStart w:id="7" w:name="O_1161018"/>
      <w:bookmarkEnd w:id="7"/>
      <w:r w:rsidRPr="006D7278">
        <w:t>Unit Mapping Information</w:t>
      </w:r>
    </w:p>
    <w:p w:rsidR="00000000" w:rsidRPr="006D7278" w:rsidP="0051310B">
      <w:pPr>
        <w:pStyle w:val="BodyText"/>
      </w:pPr>
      <w:r w:rsidRPr="006D7278">
        <w:t>Supersedes and equivalent to CPCCBC4037A Prepare drawings for heritage works.</w:t>
      </w:r>
    </w:p>
    <w:p w:rsidR="00000000" w:rsidRPr="006D7278" w:rsidP="006D7278">
      <w:pPr>
        <w:pStyle w:val="Heading1"/>
      </w:pPr>
      <w:bookmarkStart w:id="8" w:name="O_1161025"/>
      <w:bookmarkEnd w:id="8"/>
      <w:r w:rsidRPr="006D7278">
        <w:t>Links</w:t>
      </w:r>
    </w:p>
    <w:p w:rsidR="00000000" w:rsidRPr="006D7278" w:rsidP="0051310B">
      <w:pPr>
        <w:pStyle w:val="BodyText"/>
      </w:pPr>
      <w:r w:rsidRPr="006D7278">
        <w:t>Companion volumes to this training package are avail</w:t>
      </w:r>
      <w:r w:rsidRPr="006D7278">
        <w:t xml:space="preserve">able at the VETNet website - </w:t>
      </w:r>
      <w:r>
        <w:fldChar w:fldCharType="begin"/>
      </w:r>
      <w:r>
        <w:instrText xml:space="preserve"> HYPERLINK "https://vetnet.gov.au/Pages/TrainingDocs.aspx?q=7e15fa6a-68b8-4097-b099-030a5569b1ad" </w:instrText>
      </w:r>
      <w:r>
        <w:fldChar w:fldCharType="separate"/>
      </w:r>
      <w:r w:rsidRPr="005F48D8">
        <w:rPr>
          <w:rStyle w:val="Hyperlink"/>
        </w:rPr>
        <w:t>https://vetnet.gov.au/Pages/TrainingDocs.aspx?q=7e15fa6a-68b8-4097-b099-030a5569b1ad</w:t>
      </w:r>
      <w:r>
        <w:fldChar w:fldCharType="end"/>
      </w:r>
    </w:p>
    <w:p w:rsidR="00000000" w:rsidRPr="006D7278" w:rsidP="006D7278"/>
    <w:sectPr w:rsidSect="006D727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2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278" w:rsidRPr="0051310B" w:rsidP="005131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2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10B" w:rsidP="006D72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310B" w:rsidP="006D727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51310B" w:rsidP="006D72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2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1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7278" w:rsidRPr="0051310B" w:rsidP="005131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2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10B" w:rsidRPr="002D2AF8" w:rsidP="006D7278">
    <w:pPr>
      <w:pStyle w:val="Header"/>
      <w:framePr w:wrap="around"/>
    </w:pPr>
    <w:r>
      <w:fldChar w:fldCharType="begin"/>
    </w:r>
    <w:r>
      <w:instrText xml:space="preserve"> TITLE   \* MERGEFORMAT </w:instrText>
    </w:r>
    <w:r>
      <w:fldChar w:fldCharType="separate"/>
    </w:r>
    <w:r>
      <w:t>CPCCST4005 Prepare drawings for heritage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51310B" w:rsidP="006D72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A2B0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A829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2053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2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7278"/>
    <w:pPr>
      <w:spacing w:before="360" w:after="60"/>
      <w:outlineLvl w:val="0"/>
    </w:pPr>
    <w:rPr>
      <w:sz w:val="32"/>
    </w:rPr>
  </w:style>
  <w:style w:type="paragraph" w:styleId="Heading2">
    <w:name w:val="heading 2"/>
    <w:basedOn w:val="HeadingBase"/>
    <w:next w:val="BodyText"/>
    <w:link w:val="Heading2Char"/>
    <w:qFormat/>
    <w:rsid w:val="006D7278"/>
    <w:pPr>
      <w:keepLines/>
      <w:spacing w:before="240" w:after="120"/>
      <w:outlineLvl w:val="1"/>
    </w:pPr>
    <w:rPr>
      <w:sz w:val="28"/>
      <w:szCs w:val="40"/>
    </w:rPr>
  </w:style>
  <w:style w:type="paragraph" w:styleId="Heading3">
    <w:name w:val="heading 3"/>
    <w:basedOn w:val="HeadingBase"/>
    <w:next w:val="BodyText"/>
    <w:link w:val="Heading3Char"/>
    <w:qFormat/>
    <w:rsid w:val="006D7278"/>
    <w:pPr>
      <w:spacing w:before="180" w:after="120"/>
      <w:outlineLvl w:val="2"/>
    </w:pPr>
    <w:rPr>
      <w:spacing w:val="-10"/>
      <w:kern w:val="32"/>
    </w:rPr>
  </w:style>
  <w:style w:type="paragraph" w:styleId="Heading4">
    <w:name w:val="heading 4"/>
    <w:basedOn w:val="HeadingBase"/>
    <w:next w:val="BodyText"/>
    <w:link w:val="Heading4Char"/>
    <w:qFormat/>
    <w:rsid w:val="006D7278"/>
    <w:pPr>
      <w:spacing w:before="160" w:after="120"/>
      <w:outlineLvl w:val="3"/>
    </w:pPr>
    <w:rPr>
      <w:sz w:val="22"/>
    </w:rPr>
  </w:style>
  <w:style w:type="paragraph" w:styleId="Heading5">
    <w:name w:val="heading 5"/>
    <w:basedOn w:val="HeadingBase"/>
    <w:next w:val="Normal"/>
    <w:link w:val="Heading5Char"/>
    <w:qFormat/>
    <w:rsid w:val="006D7278"/>
    <w:pPr>
      <w:spacing w:before="80"/>
      <w:outlineLvl w:val="4"/>
    </w:pPr>
    <w:rPr>
      <w:color w:val="918585"/>
      <w:sz w:val="20"/>
    </w:rPr>
  </w:style>
  <w:style w:type="paragraph" w:styleId="Heading6">
    <w:name w:val="heading 6"/>
    <w:basedOn w:val="HeadingBase"/>
    <w:next w:val="Normal"/>
    <w:link w:val="Heading6Char"/>
    <w:qFormat/>
    <w:rsid w:val="006D7278"/>
    <w:pPr>
      <w:spacing w:before="60"/>
      <w:outlineLvl w:val="5"/>
    </w:pPr>
    <w:rPr>
      <w:color w:val="918585"/>
      <w:sz w:val="20"/>
    </w:rPr>
  </w:style>
  <w:style w:type="paragraph" w:styleId="Heading7">
    <w:name w:val="heading 7"/>
    <w:basedOn w:val="Normal"/>
    <w:next w:val="Normal"/>
    <w:link w:val="Heading7Char"/>
    <w:qFormat/>
    <w:rsid w:val="006D7278"/>
    <w:pPr>
      <w:ind w:left="720"/>
      <w:outlineLvl w:val="6"/>
    </w:pPr>
    <w:rPr>
      <w:i/>
    </w:rPr>
  </w:style>
  <w:style w:type="paragraph" w:styleId="Heading8">
    <w:name w:val="heading 8"/>
    <w:basedOn w:val="Normal"/>
    <w:next w:val="Normal"/>
    <w:link w:val="Heading8Char"/>
    <w:qFormat/>
    <w:rsid w:val="006D7278"/>
    <w:pPr>
      <w:ind w:left="720"/>
      <w:outlineLvl w:val="7"/>
    </w:pPr>
    <w:rPr>
      <w:i/>
    </w:rPr>
  </w:style>
  <w:style w:type="paragraph" w:styleId="Heading9">
    <w:name w:val="heading 9"/>
    <w:basedOn w:val="Normal"/>
    <w:next w:val="Normal"/>
    <w:link w:val="Heading9Char"/>
    <w:qFormat/>
    <w:rsid w:val="006D7278"/>
    <w:pPr>
      <w:ind w:left="720"/>
      <w:outlineLvl w:val="8"/>
    </w:pPr>
    <w:rPr>
      <w:i/>
    </w:rPr>
  </w:style>
  <w:style w:type="character" w:default="1" w:styleId="DefaultParagraphFont">
    <w:name w:val="Default Paragraph Font"/>
    <w:uiPriority w:val="1"/>
    <w:unhideWhenUsed/>
    <w:rsid w:val="006D72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7278"/>
  </w:style>
  <w:style w:type="character" w:customStyle="1" w:styleId="Heading1Char">
    <w:name w:val="Heading 1 Char"/>
    <w:basedOn w:val="DefaultParagraphFont"/>
    <w:link w:val="Heading1"/>
    <w:rsid w:val="006D7278"/>
    <w:rPr>
      <w:rFonts w:ascii="Times New Roman" w:eastAsia="Times New Roman" w:hAnsi="Times New Roman" w:cs="Times New Roman"/>
      <w:b/>
      <w:sz w:val="32"/>
      <w:szCs w:val="20"/>
      <w:lang w:eastAsia="en-US"/>
    </w:rPr>
  </w:style>
  <w:style w:type="paragraph" w:styleId="BodyText">
    <w:name w:val="Body Text"/>
    <w:basedOn w:val="Normal"/>
    <w:link w:val="BodyTextChar"/>
    <w:rsid w:val="006D72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7278"/>
    <w:rPr>
      <w:rFonts w:ascii="Times New Roman" w:eastAsia="Times New Roman" w:hAnsi="Times New Roman" w:cs="Times New Roman"/>
      <w:sz w:val="24"/>
      <w:lang w:eastAsia="en-US"/>
    </w:rPr>
  </w:style>
  <w:style w:type="paragraph" w:styleId="ListBullet">
    <w:name w:val="List Bullet"/>
    <w:basedOn w:val="List"/>
    <w:rsid w:val="006D7278"/>
    <w:pPr>
      <w:numPr>
        <w:numId w:val="13"/>
      </w:numPr>
      <w:tabs>
        <w:tab w:val="clear" w:pos="340"/>
      </w:tabs>
      <w:spacing w:before="40" w:after="40"/>
    </w:pPr>
  </w:style>
  <w:style w:type="paragraph" w:styleId="ListBullet2">
    <w:name w:val="List Bullet 2"/>
    <w:basedOn w:val="List2"/>
    <w:rsid w:val="006D7278"/>
    <w:pPr>
      <w:numPr>
        <w:numId w:val="14"/>
      </w:numPr>
      <w:tabs>
        <w:tab w:val="clear" w:pos="680"/>
      </w:tabs>
    </w:pPr>
  </w:style>
  <w:style w:type="paragraph" w:customStyle="1" w:styleId="SuperHeading">
    <w:name w:val="SuperHeading"/>
    <w:basedOn w:val="Normal"/>
    <w:rsid w:val="006D7278"/>
    <w:pPr>
      <w:spacing w:before="240" w:after="120"/>
      <w:outlineLvl w:val="0"/>
    </w:pPr>
    <w:rPr>
      <w:rFonts w:ascii="Times New Roman" w:hAnsi="Times New Roman"/>
      <w:b/>
      <w:sz w:val="32"/>
    </w:rPr>
  </w:style>
  <w:style w:type="paragraph" w:customStyle="1" w:styleId="AllowPageBreak">
    <w:name w:val="AllowPageBreak"/>
    <w:rsid w:val="006D727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D7278"/>
    <w:pPr>
      <w:numPr>
        <w:numId w:val="3"/>
      </w:numPr>
      <w:tabs>
        <w:tab w:val="clear" w:pos="1021"/>
      </w:tabs>
      <w:ind w:left="1037" w:hanging="357"/>
    </w:pPr>
  </w:style>
  <w:style w:type="character" w:customStyle="1" w:styleId="Heading2Char">
    <w:name w:val="Heading 2 Char"/>
    <w:basedOn w:val="DefaultParagraphFont"/>
    <w:link w:val="Heading2"/>
    <w:rsid w:val="006D72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72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72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72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72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72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72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7278"/>
    <w:rPr>
      <w:rFonts w:ascii="Courier New" w:eastAsia="Times New Roman" w:hAnsi="Courier New" w:cs="Times New Roman"/>
      <w:i/>
      <w:szCs w:val="20"/>
      <w:lang w:eastAsia="en-US"/>
    </w:rPr>
  </w:style>
  <w:style w:type="paragraph" w:customStyle="1" w:styleId="HeadingBase">
    <w:name w:val="Heading Base"/>
    <w:rsid w:val="006D72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7278"/>
    <w:pPr>
      <w:tabs>
        <w:tab w:val="right" w:leader="dot" w:pos="9072"/>
      </w:tabs>
      <w:ind w:left="567"/>
    </w:pPr>
    <w:rPr>
      <w:szCs w:val="22"/>
    </w:rPr>
  </w:style>
  <w:style w:type="paragraph" w:customStyle="1" w:styleId="TOCBase">
    <w:name w:val="TOC Base"/>
    <w:rsid w:val="006D72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7278"/>
    <w:pPr>
      <w:tabs>
        <w:tab w:val="right" w:leader="dot" w:pos="9072"/>
      </w:tabs>
      <w:spacing w:before="40" w:after="40"/>
      <w:ind w:left="284"/>
    </w:pPr>
    <w:rPr>
      <w:rFonts w:ascii="Times New Roman" w:hAnsi="Times New Roman"/>
    </w:rPr>
  </w:style>
  <w:style w:type="paragraph" w:styleId="TOC1">
    <w:name w:val="toc 1"/>
    <w:basedOn w:val="TOCBase"/>
    <w:next w:val="Normal"/>
    <w:rsid w:val="006D72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72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7278"/>
    <w:rPr>
      <w:rFonts w:ascii="Times New Roman" w:eastAsia="Times New Roman" w:hAnsi="Times New Roman" w:cs="Times New Roman"/>
      <w:sz w:val="16"/>
      <w:lang w:eastAsia="en-US"/>
    </w:rPr>
  </w:style>
  <w:style w:type="paragraph" w:styleId="Title">
    <w:name w:val="Title"/>
    <w:basedOn w:val="HeadingBase"/>
    <w:link w:val="TitleChar"/>
    <w:qFormat/>
    <w:rsid w:val="006D7278"/>
    <w:pPr>
      <w:spacing w:before="5040"/>
      <w:jc w:val="center"/>
    </w:pPr>
    <w:rPr>
      <w:sz w:val="48"/>
      <w:szCs w:val="72"/>
      <w:lang w:val="en-US"/>
    </w:rPr>
  </w:style>
  <w:style w:type="character" w:customStyle="1" w:styleId="TitleChar">
    <w:name w:val="Title Char"/>
    <w:basedOn w:val="DefaultParagraphFont"/>
    <w:link w:val="Title"/>
    <w:rsid w:val="006D72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7278"/>
    <w:pPr>
      <w:tabs>
        <w:tab w:val="left" w:pos="3600"/>
        <w:tab w:val="left" w:pos="3958"/>
      </w:tabs>
    </w:pPr>
  </w:style>
  <w:style w:type="paragraph" w:styleId="List">
    <w:name w:val="List"/>
    <w:basedOn w:val="BodyText"/>
    <w:next w:val="BodyText"/>
    <w:rsid w:val="006D7278"/>
    <w:pPr>
      <w:tabs>
        <w:tab w:val="left" w:pos="340"/>
      </w:tabs>
      <w:spacing w:before="60" w:after="60"/>
      <w:ind w:left="340" w:hanging="340"/>
    </w:pPr>
  </w:style>
  <w:style w:type="paragraph" w:customStyle="1" w:styleId="Note">
    <w:name w:val="Note"/>
    <w:basedOn w:val="BodyText"/>
    <w:rsid w:val="006D727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D7278"/>
    <w:rPr>
      <w:b/>
      <w:spacing w:val="0"/>
    </w:rPr>
  </w:style>
  <w:style w:type="paragraph" w:customStyle="1" w:styleId="SuperTitle">
    <w:name w:val="SuperTitle"/>
    <w:basedOn w:val="Title"/>
    <w:rsid w:val="006D7278"/>
    <w:pPr>
      <w:framePr w:wrap="auto" w:hAnchor="text" w:y="6049"/>
    </w:pPr>
    <w:rPr>
      <w:color w:val="000000"/>
      <w:sz w:val="40"/>
    </w:rPr>
  </w:style>
  <w:style w:type="paragraph" w:customStyle="1" w:styleId="TOCTitle">
    <w:name w:val="TOCTitle"/>
    <w:basedOn w:val="Heading1"/>
    <w:rsid w:val="006D7278"/>
    <w:pPr>
      <w:spacing w:after="240"/>
      <w:jc w:val="center"/>
      <w:outlineLvl w:val="9"/>
    </w:pPr>
    <w:rPr>
      <w:caps/>
    </w:rPr>
  </w:style>
  <w:style w:type="paragraph" w:customStyle="1" w:styleId="Version">
    <w:name w:val="Version"/>
    <w:rsid w:val="006D72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7278"/>
    <w:pPr>
      <w:keepNext w:val="0"/>
      <w:tabs>
        <w:tab w:val="right" w:pos="4176"/>
      </w:tabs>
      <w:ind w:left="198" w:hanging="198"/>
    </w:pPr>
    <w:rPr>
      <w:rFonts w:ascii="Garamond" w:hAnsi="Garamond"/>
    </w:rPr>
  </w:style>
  <w:style w:type="paragraph" w:styleId="IndexHeading">
    <w:name w:val="index heading"/>
    <w:basedOn w:val="Normal"/>
    <w:next w:val="Index1"/>
    <w:semiHidden/>
    <w:rsid w:val="006D7278"/>
    <w:pPr>
      <w:spacing w:before="120" w:after="120"/>
    </w:pPr>
    <w:rPr>
      <w:rFonts w:ascii="Arial" w:hAnsi="Arial"/>
      <w:b/>
      <w:color w:val="918585"/>
      <w:sz w:val="24"/>
    </w:rPr>
  </w:style>
  <w:style w:type="paragraph" w:styleId="Header">
    <w:name w:val="header"/>
    <w:basedOn w:val="Normal"/>
    <w:link w:val="HeaderChar"/>
    <w:rsid w:val="006D72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7278"/>
    <w:rPr>
      <w:rFonts w:ascii="Times New Roman" w:eastAsia="Times New Roman" w:hAnsi="Times New Roman" w:cs="Times New Roman"/>
      <w:sz w:val="16"/>
      <w:szCs w:val="20"/>
      <w:lang w:val="en-GB" w:eastAsia="en-US"/>
    </w:rPr>
  </w:style>
  <w:style w:type="paragraph" w:customStyle="1" w:styleId="Chapter">
    <w:name w:val="Chapter"/>
    <w:basedOn w:val="Normal"/>
    <w:rsid w:val="006D7278"/>
    <w:pPr>
      <w:spacing w:before="240"/>
    </w:pPr>
    <w:rPr>
      <w:rFonts w:ascii="Times New Roman" w:hAnsi="Times New Roman"/>
      <w:smallCaps/>
      <w:spacing w:val="80"/>
      <w:sz w:val="28"/>
    </w:rPr>
  </w:style>
  <w:style w:type="paragraph" w:customStyle="1" w:styleId="InChapter">
    <w:name w:val="InChapter"/>
    <w:basedOn w:val="Heading3"/>
    <w:rsid w:val="006D7278"/>
    <w:pPr>
      <w:spacing w:after="240"/>
      <w:outlineLvl w:val="9"/>
    </w:pPr>
    <w:rPr>
      <w:noProof/>
    </w:rPr>
  </w:style>
  <w:style w:type="paragraph" w:styleId="Index2">
    <w:name w:val="index 2"/>
    <w:basedOn w:val="Normal"/>
    <w:next w:val="Normal"/>
    <w:semiHidden/>
    <w:rsid w:val="006D7278"/>
    <w:pPr>
      <w:tabs>
        <w:tab w:val="right" w:pos="4176"/>
      </w:tabs>
      <w:ind w:left="568" w:hanging="284"/>
    </w:pPr>
    <w:rPr>
      <w:rFonts w:ascii="Garamond" w:hAnsi="Garamond"/>
    </w:rPr>
  </w:style>
  <w:style w:type="paragraph" w:customStyle="1" w:styleId="Byline">
    <w:name w:val="Byline"/>
    <w:rsid w:val="006D72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7278"/>
    <w:pPr>
      <w:tabs>
        <w:tab w:val="clear" w:pos="3600"/>
        <w:tab w:val="clear" w:pos="3958"/>
      </w:tabs>
      <w:jc w:val="right"/>
    </w:pPr>
  </w:style>
  <w:style w:type="character" w:styleId="Emphasis">
    <w:name w:val="Emphasis"/>
    <w:basedOn w:val="DefaultParagraphFont"/>
    <w:qFormat/>
    <w:rsid w:val="006D7278"/>
    <w:rPr>
      <w:i/>
    </w:rPr>
  </w:style>
  <w:style w:type="paragraph" w:styleId="Caption">
    <w:name w:val="caption"/>
    <w:basedOn w:val="BodyText"/>
    <w:next w:val="Normal"/>
    <w:qFormat/>
    <w:rsid w:val="006D7278"/>
    <w:pPr>
      <w:framePr w:w="2268" w:hSpace="181" w:vSpace="181" w:wrap="around" w:vAnchor="text" w:hAnchor="page" w:x="1135" w:y="285" w:anchorLock="1"/>
    </w:pPr>
    <w:rPr>
      <w:i/>
    </w:rPr>
  </w:style>
  <w:style w:type="paragraph" w:customStyle="1" w:styleId="MiniTOCTitle">
    <w:name w:val="MiniTOCTitle"/>
    <w:basedOn w:val="Heading4"/>
    <w:rsid w:val="006D7278"/>
    <w:pPr>
      <w:spacing w:before="240"/>
      <w:outlineLvl w:val="9"/>
    </w:pPr>
    <w:rPr>
      <w:noProof/>
      <w:sz w:val="24"/>
    </w:rPr>
  </w:style>
  <w:style w:type="paragraph" w:customStyle="1" w:styleId="MiniTOCItem">
    <w:name w:val="MiniTOCItem"/>
    <w:basedOn w:val="ListBullet"/>
    <w:rsid w:val="006D7278"/>
    <w:pPr>
      <w:numPr>
        <w:numId w:val="0"/>
      </w:numPr>
      <w:tabs>
        <w:tab w:val="right" w:leader="dot" w:pos="6521"/>
      </w:tabs>
      <w:spacing w:before="0" w:after="0"/>
    </w:pPr>
  </w:style>
  <w:style w:type="paragraph" w:customStyle="1" w:styleId="TOFTitle">
    <w:name w:val="TOFTitle"/>
    <w:basedOn w:val="TOCTitle"/>
    <w:rsid w:val="006D7278"/>
  </w:style>
  <w:style w:type="paragraph" w:styleId="TableofFigures">
    <w:name w:val="table of figures"/>
    <w:basedOn w:val="Normal"/>
    <w:next w:val="Normal"/>
    <w:semiHidden/>
    <w:rsid w:val="006D7278"/>
    <w:pPr>
      <w:tabs>
        <w:tab w:val="right" w:leader="dot" w:pos="9072"/>
      </w:tabs>
      <w:ind w:left="970" w:hanging="403"/>
    </w:pPr>
    <w:rPr>
      <w:rFonts w:ascii="Times New Roman" w:hAnsi="Times New Roman"/>
      <w:b/>
    </w:rPr>
  </w:style>
  <w:style w:type="paragraph" w:styleId="ListNumber">
    <w:name w:val="List Number"/>
    <w:basedOn w:val="List"/>
    <w:rsid w:val="006D7278"/>
    <w:pPr>
      <w:numPr>
        <w:numId w:val="16"/>
      </w:numPr>
      <w:tabs>
        <w:tab w:val="clear" w:pos="340"/>
      </w:tabs>
    </w:pPr>
  </w:style>
  <w:style w:type="character" w:customStyle="1" w:styleId="WingdingSymbols">
    <w:name w:val="Wingding Symbols"/>
    <w:rsid w:val="006D7278"/>
    <w:rPr>
      <w:rFonts w:ascii="Wingdings" w:hAnsi="Wingdings"/>
    </w:rPr>
  </w:style>
  <w:style w:type="paragraph" w:customStyle="1" w:styleId="TableHeading">
    <w:name w:val="Table Heading"/>
    <w:basedOn w:val="HeadingBase"/>
    <w:rsid w:val="006D7278"/>
    <w:pPr>
      <w:keepLines/>
      <w:pBdr>
        <w:bottom w:val="single" w:sz="6" w:space="1" w:color="918585"/>
      </w:pBdr>
      <w:spacing w:before="240"/>
    </w:pPr>
  </w:style>
  <w:style w:type="character" w:customStyle="1" w:styleId="HotSpot">
    <w:name w:val="HotSpot"/>
    <w:rsid w:val="006D7278"/>
    <w:rPr>
      <w:color w:val="0033CC"/>
      <w:u w:val="none"/>
    </w:rPr>
  </w:style>
  <w:style w:type="paragraph" w:customStyle="1" w:styleId="BodyTextRight">
    <w:name w:val="Body Text Right"/>
    <w:basedOn w:val="BodyText"/>
    <w:rsid w:val="006D7278"/>
    <w:pPr>
      <w:spacing w:before="0" w:after="0"/>
      <w:jc w:val="right"/>
    </w:pPr>
  </w:style>
  <w:style w:type="paragraph" w:styleId="Index3">
    <w:name w:val="index 3"/>
    <w:basedOn w:val="ListNumber2"/>
    <w:next w:val="Normal"/>
    <w:semiHidden/>
    <w:rsid w:val="006D7278"/>
    <w:pPr>
      <w:numPr>
        <w:numId w:val="0"/>
      </w:numPr>
      <w:tabs>
        <w:tab w:val="right" w:leader="dot" w:pos="4176"/>
      </w:tabs>
    </w:pPr>
  </w:style>
  <w:style w:type="paragraph" w:styleId="ListNumber2">
    <w:name w:val="List Number 2"/>
    <w:basedOn w:val="List2"/>
    <w:rsid w:val="006D7278"/>
    <w:pPr>
      <w:numPr>
        <w:numId w:val="11"/>
      </w:numPr>
      <w:tabs>
        <w:tab w:val="clear" w:pos="1060"/>
      </w:tabs>
    </w:pPr>
  </w:style>
  <w:style w:type="paragraph" w:customStyle="1" w:styleId="MarginNote">
    <w:name w:val="Margin Note"/>
    <w:basedOn w:val="BodyText"/>
    <w:rsid w:val="006D72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72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72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7278"/>
    <w:rPr>
      <w:sz w:val="32"/>
    </w:rPr>
  </w:style>
  <w:style w:type="paragraph" w:customStyle="1" w:styleId="HeadingProcedure">
    <w:name w:val="Heading Procedure"/>
    <w:basedOn w:val="HeadingBase"/>
    <w:next w:val="Normal"/>
    <w:rsid w:val="006D7278"/>
    <w:pPr>
      <w:tabs>
        <w:tab w:val="left" w:pos="0"/>
      </w:tabs>
      <w:spacing w:before="120" w:after="60"/>
    </w:pPr>
    <w:rPr>
      <w:i/>
      <w:color w:val="918585"/>
      <w:sz w:val="22"/>
    </w:rPr>
  </w:style>
  <w:style w:type="paragraph" w:customStyle="1" w:styleId="TableBodyText">
    <w:name w:val="Table Body Text"/>
    <w:basedOn w:val="BodyText"/>
    <w:rsid w:val="006D7278"/>
    <w:pPr>
      <w:spacing w:before="60" w:after="60"/>
    </w:pPr>
  </w:style>
  <w:style w:type="paragraph" w:styleId="ListContinue">
    <w:name w:val="List Continue"/>
    <w:basedOn w:val="List"/>
    <w:rsid w:val="006D7278"/>
    <w:pPr>
      <w:ind w:firstLine="0"/>
    </w:pPr>
  </w:style>
  <w:style w:type="paragraph" w:customStyle="1" w:styleId="ListNote">
    <w:name w:val="List Note"/>
    <w:basedOn w:val="List"/>
    <w:rsid w:val="006D7278"/>
    <w:pPr>
      <w:pBdr>
        <w:top w:val="single" w:sz="6" w:space="2" w:color="918585"/>
        <w:bottom w:val="single" w:sz="6" w:space="2" w:color="918585"/>
      </w:pBdr>
      <w:tabs>
        <w:tab w:val="left" w:pos="1021"/>
      </w:tabs>
      <w:ind w:firstLine="0"/>
    </w:pPr>
  </w:style>
  <w:style w:type="paragraph" w:customStyle="1" w:styleId="Warning">
    <w:name w:val="Warning"/>
    <w:basedOn w:val="BodyText"/>
    <w:rsid w:val="006D7278"/>
    <w:pPr>
      <w:shd w:val="clear" w:color="auto" w:fill="D9D9D9"/>
      <w:tabs>
        <w:tab w:val="left" w:pos="992"/>
      </w:tabs>
      <w:ind w:left="119" w:right="119"/>
    </w:pPr>
    <w:rPr>
      <w:sz w:val="20"/>
    </w:rPr>
  </w:style>
  <w:style w:type="paragraph" w:customStyle="1" w:styleId="MarginIcons">
    <w:name w:val="Margin Icons"/>
    <w:basedOn w:val="BodyText"/>
    <w:rsid w:val="006D72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7278"/>
    <w:rPr>
      <w:rFonts w:ascii="Courier New" w:hAnsi="Courier New"/>
    </w:rPr>
  </w:style>
  <w:style w:type="paragraph" w:customStyle="1" w:styleId="NoteBullet">
    <w:name w:val="Note Bullet"/>
    <w:basedOn w:val="Note"/>
    <w:rsid w:val="006D7278"/>
    <w:pPr>
      <w:tabs>
        <w:tab w:val="clear" w:pos="680"/>
      </w:tabs>
      <w:spacing w:before="60" w:after="60"/>
    </w:pPr>
  </w:style>
  <w:style w:type="paragraph" w:customStyle="1" w:styleId="SubHeading2">
    <w:name w:val="SubHeading2"/>
    <w:basedOn w:val="HeadingBase"/>
    <w:rsid w:val="006D7278"/>
    <w:pPr>
      <w:spacing w:before="240" w:after="60"/>
    </w:pPr>
    <w:rPr>
      <w:sz w:val="20"/>
    </w:rPr>
  </w:style>
  <w:style w:type="paragraph" w:customStyle="1" w:styleId="SubHeading1">
    <w:name w:val="SubHeading1"/>
    <w:basedOn w:val="HeadingBase"/>
    <w:rsid w:val="006D7278"/>
    <w:pPr>
      <w:spacing w:before="240" w:after="60"/>
    </w:pPr>
    <w:rPr>
      <w:color w:val="918585"/>
      <w:sz w:val="22"/>
    </w:rPr>
  </w:style>
  <w:style w:type="paragraph" w:customStyle="1" w:styleId="SideHeading">
    <w:name w:val="Side Heading"/>
    <w:basedOn w:val="HeadingBase"/>
    <w:rsid w:val="006D72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7278"/>
    <w:pPr>
      <w:numPr>
        <w:numId w:val="12"/>
      </w:numPr>
    </w:pPr>
  </w:style>
  <w:style w:type="paragraph" w:styleId="PlainText">
    <w:name w:val="Plain Text"/>
    <w:basedOn w:val="Normal"/>
    <w:link w:val="PlainTextChar"/>
    <w:rsid w:val="006D7278"/>
    <w:rPr>
      <w:sz w:val="20"/>
    </w:rPr>
  </w:style>
  <w:style w:type="character" w:customStyle="1" w:styleId="PlainTextChar">
    <w:name w:val="Plain Text Char"/>
    <w:basedOn w:val="DefaultParagraphFont"/>
    <w:link w:val="PlainText"/>
    <w:rsid w:val="006D7278"/>
    <w:rPr>
      <w:rFonts w:ascii="Courier New" w:eastAsia="Times New Roman" w:hAnsi="Courier New" w:cs="Times New Roman"/>
      <w:sz w:val="20"/>
      <w:szCs w:val="20"/>
      <w:lang w:eastAsia="en-US"/>
    </w:rPr>
  </w:style>
  <w:style w:type="character" w:customStyle="1" w:styleId="MenuOption">
    <w:name w:val="Menu Option"/>
    <w:basedOn w:val="DefaultParagraphFont"/>
    <w:rsid w:val="006D7278"/>
    <w:rPr>
      <w:b/>
      <w:smallCaps/>
    </w:rPr>
  </w:style>
  <w:style w:type="paragraph" w:customStyle="1" w:styleId="TableListNumber">
    <w:name w:val="Table List Number"/>
    <w:basedOn w:val="ListNumber"/>
    <w:rsid w:val="006D7278"/>
    <w:pPr>
      <w:numPr>
        <w:numId w:val="0"/>
      </w:numPr>
    </w:pPr>
  </w:style>
  <w:style w:type="paragraph" w:styleId="TOC4">
    <w:name w:val="toc 4"/>
    <w:basedOn w:val="TOCBase"/>
    <w:next w:val="Normal"/>
    <w:semiHidden/>
    <w:rsid w:val="006D7278"/>
    <w:pPr>
      <w:tabs>
        <w:tab w:val="right" w:leader="dot" w:pos="9071"/>
      </w:tabs>
      <w:ind w:left="1701"/>
    </w:pPr>
  </w:style>
  <w:style w:type="paragraph" w:customStyle="1" w:styleId="ListAlpha">
    <w:name w:val="List Alpha"/>
    <w:basedOn w:val="List"/>
    <w:rsid w:val="006D7278"/>
    <w:pPr>
      <w:numPr>
        <w:numId w:val="10"/>
      </w:numPr>
    </w:pPr>
  </w:style>
  <w:style w:type="paragraph" w:customStyle="1" w:styleId="ListAlpha2">
    <w:name w:val="List Alpha 2"/>
    <w:basedOn w:val="List2"/>
    <w:rsid w:val="006D7278"/>
    <w:pPr>
      <w:numPr>
        <w:numId w:val="9"/>
      </w:numPr>
    </w:pPr>
  </w:style>
  <w:style w:type="paragraph" w:styleId="List2">
    <w:name w:val="List 2"/>
    <w:basedOn w:val="BodyText"/>
    <w:rsid w:val="006D7278"/>
    <w:pPr>
      <w:tabs>
        <w:tab w:val="left" w:pos="680"/>
      </w:tabs>
      <w:spacing w:before="60" w:after="60"/>
      <w:ind w:left="680" w:hanging="340"/>
    </w:pPr>
  </w:style>
  <w:style w:type="paragraph" w:styleId="List3">
    <w:name w:val="List 3"/>
    <w:basedOn w:val="BodyText"/>
    <w:rsid w:val="006D7278"/>
    <w:pPr>
      <w:tabs>
        <w:tab w:val="left" w:pos="1021"/>
      </w:tabs>
      <w:spacing w:before="60" w:after="60"/>
      <w:ind w:left="1020" w:hanging="340"/>
    </w:pPr>
  </w:style>
  <w:style w:type="paragraph" w:styleId="List4">
    <w:name w:val="List 4"/>
    <w:basedOn w:val="BodyText"/>
    <w:rsid w:val="006D7278"/>
    <w:pPr>
      <w:tabs>
        <w:tab w:val="left" w:pos="1361"/>
      </w:tabs>
      <w:spacing w:before="60" w:after="60"/>
      <w:ind w:left="1361" w:hanging="340"/>
    </w:pPr>
  </w:style>
  <w:style w:type="paragraph" w:styleId="List5">
    <w:name w:val="List 5"/>
    <w:basedOn w:val="BodyText"/>
    <w:rsid w:val="006D7278"/>
    <w:pPr>
      <w:tabs>
        <w:tab w:val="left" w:pos="1701"/>
      </w:tabs>
      <w:spacing w:before="60" w:after="60"/>
      <w:ind w:left="1701" w:hanging="340"/>
    </w:pPr>
  </w:style>
  <w:style w:type="paragraph" w:styleId="ListBullet4">
    <w:name w:val="List Bullet 4"/>
    <w:basedOn w:val="List4"/>
    <w:rsid w:val="006D7278"/>
    <w:pPr>
      <w:numPr>
        <w:numId w:val="4"/>
      </w:numPr>
      <w:tabs>
        <w:tab w:val="clear" w:pos="1361"/>
      </w:tabs>
    </w:pPr>
  </w:style>
  <w:style w:type="paragraph" w:styleId="ListBullet5">
    <w:name w:val="List Bullet 5"/>
    <w:basedOn w:val="List5"/>
    <w:rsid w:val="006D7278"/>
    <w:pPr>
      <w:numPr>
        <w:numId w:val="5"/>
      </w:numPr>
    </w:pPr>
  </w:style>
  <w:style w:type="paragraph" w:styleId="ListContinue2">
    <w:name w:val="List Continue 2"/>
    <w:basedOn w:val="List2"/>
    <w:rsid w:val="006D7278"/>
    <w:pPr>
      <w:ind w:firstLine="0"/>
    </w:pPr>
  </w:style>
  <w:style w:type="paragraph" w:styleId="ListContinue3">
    <w:name w:val="List Continue 3"/>
    <w:basedOn w:val="List3"/>
    <w:rsid w:val="006D7278"/>
    <w:pPr>
      <w:ind w:left="1021" w:firstLine="0"/>
    </w:pPr>
  </w:style>
  <w:style w:type="paragraph" w:styleId="ListContinue4">
    <w:name w:val="List Continue 4"/>
    <w:basedOn w:val="List4"/>
    <w:rsid w:val="006D7278"/>
    <w:pPr>
      <w:ind w:firstLine="0"/>
    </w:pPr>
  </w:style>
  <w:style w:type="paragraph" w:styleId="ListContinue5">
    <w:name w:val="List Continue 5"/>
    <w:basedOn w:val="List5"/>
    <w:rsid w:val="006D7278"/>
    <w:pPr>
      <w:ind w:firstLine="0"/>
    </w:pPr>
  </w:style>
  <w:style w:type="paragraph" w:styleId="ListNumber3">
    <w:name w:val="List Number 3"/>
    <w:basedOn w:val="List3"/>
    <w:rsid w:val="006D7278"/>
    <w:pPr>
      <w:numPr>
        <w:numId w:val="6"/>
      </w:numPr>
    </w:pPr>
  </w:style>
  <w:style w:type="paragraph" w:styleId="ListNumber4">
    <w:name w:val="List Number 4"/>
    <w:basedOn w:val="List4"/>
    <w:rsid w:val="006D7278"/>
    <w:pPr>
      <w:numPr>
        <w:numId w:val="7"/>
      </w:numPr>
    </w:pPr>
  </w:style>
  <w:style w:type="paragraph" w:styleId="ListNumber5">
    <w:name w:val="List Number 5"/>
    <w:basedOn w:val="List5"/>
    <w:rsid w:val="006D7278"/>
    <w:pPr>
      <w:numPr>
        <w:numId w:val="8"/>
      </w:numPr>
    </w:pPr>
  </w:style>
  <w:style w:type="paragraph" w:styleId="BlockText">
    <w:name w:val="Block Text"/>
    <w:basedOn w:val="Normal"/>
    <w:rsid w:val="006D7278"/>
    <w:pPr>
      <w:spacing w:after="120"/>
      <w:ind w:left="1440" w:right="1440"/>
    </w:pPr>
  </w:style>
  <w:style w:type="character" w:customStyle="1" w:styleId="Subscript">
    <w:name w:val="Subscript"/>
    <w:basedOn w:val="DefaultParagraphFont"/>
    <w:rsid w:val="006D7278"/>
    <w:rPr>
      <w:sz w:val="16"/>
      <w:vertAlign w:val="subscript"/>
    </w:rPr>
  </w:style>
  <w:style w:type="character" w:customStyle="1" w:styleId="Superscript">
    <w:name w:val="Superscript"/>
    <w:basedOn w:val="DefaultParagraphFont"/>
    <w:rsid w:val="006D7278"/>
    <w:rPr>
      <w:sz w:val="16"/>
      <w:vertAlign w:val="superscript"/>
    </w:rPr>
  </w:style>
  <w:style w:type="character" w:customStyle="1" w:styleId="Symbols">
    <w:name w:val="Symbols"/>
    <w:basedOn w:val="DefaultParagraphFont"/>
    <w:rsid w:val="006D7278"/>
    <w:rPr>
      <w:rFonts w:ascii="Symbol" w:hAnsi="Symbol"/>
    </w:rPr>
  </w:style>
  <w:style w:type="character" w:customStyle="1" w:styleId="MenuOptions">
    <w:name w:val="Menu Options"/>
    <w:basedOn w:val="DefaultParagraphFont"/>
    <w:rsid w:val="006D7278"/>
    <w:rPr>
      <w:rFonts w:ascii="Arial Narrow" w:hAnsi="Arial Narrow"/>
      <w:smallCaps/>
    </w:rPr>
  </w:style>
  <w:style w:type="character" w:customStyle="1" w:styleId="Buttons">
    <w:name w:val="Buttons"/>
    <w:basedOn w:val="DefaultParagraphFont"/>
    <w:rsid w:val="006D7278"/>
    <w:rPr>
      <w:b/>
    </w:rPr>
  </w:style>
  <w:style w:type="character" w:customStyle="1" w:styleId="Underlined">
    <w:name w:val="Underlined"/>
    <w:basedOn w:val="DefaultParagraphFont"/>
    <w:rsid w:val="006D7278"/>
    <w:rPr>
      <w:u w:val="single"/>
    </w:rPr>
  </w:style>
  <w:style w:type="paragraph" w:customStyle="1" w:styleId="TableBodyTextRight">
    <w:name w:val="Table Body Text Right"/>
    <w:basedOn w:val="TableBodyText"/>
    <w:rsid w:val="006D7278"/>
    <w:pPr>
      <w:widowControl w:val="0"/>
      <w:autoSpaceDE w:val="0"/>
      <w:autoSpaceDN w:val="0"/>
      <w:adjustRightInd w:val="0"/>
      <w:jc w:val="right"/>
    </w:pPr>
    <w:rPr>
      <w:rFonts w:cs="Arial"/>
      <w:szCs w:val="18"/>
    </w:rPr>
  </w:style>
  <w:style w:type="paragraph" w:customStyle="1" w:styleId="CopyrightText">
    <w:name w:val="Copyright Text"/>
    <w:basedOn w:val="BodyText"/>
    <w:rsid w:val="006D7278"/>
    <w:rPr>
      <w:sz w:val="18"/>
    </w:rPr>
  </w:style>
  <w:style w:type="paragraph" w:customStyle="1" w:styleId="BodySmallRight">
    <w:name w:val="Body Small Right"/>
    <w:basedOn w:val="BodyTextRight"/>
    <w:rsid w:val="006D7278"/>
    <w:rPr>
      <w:sz w:val="18"/>
      <w:szCs w:val="18"/>
    </w:rPr>
  </w:style>
  <w:style w:type="paragraph" w:customStyle="1" w:styleId="MarginEdition">
    <w:name w:val="Margin Edition"/>
    <w:basedOn w:val="MarginNote"/>
    <w:rsid w:val="006D7278"/>
    <w:pPr>
      <w:spacing w:before="0" w:after="0"/>
    </w:pPr>
    <w:rPr>
      <w:rFonts w:ascii="Times New Roman" w:hAnsi="Times New Roman"/>
      <w:color w:val="999999"/>
    </w:rPr>
  </w:style>
  <w:style w:type="paragraph" w:customStyle="1" w:styleId="Spacer">
    <w:name w:val="Spacer"/>
    <w:basedOn w:val="Normal"/>
    <w:rsid w:val="006D7278"/>
    <w:rPr>
      <w:sz w:val="2"/>
      <w:szCs w:val="2"/>
    </w:rPr>
  </w:style>
  <w:style w:type="character" w:customStyle="1" w:styleId="Small">
    <w:name w:val="Small"/>
    <w:basedOn w:val="DefaultParagraphFont"/>
    <w:rsid w:val="006D7278"/>
    <w:rPr>
      <w:sz w:val="16"/>
    </w:rPr>
  </w:style>
  <w:style w:type="paragraph" w:customStyle="1" w:styleId="WideTable">
    <w:name w:val="Wide Table"/>
    <w:basedOn w:val="Normal"/>
    <w:rsid w:val="006D7278"/>
    <w:pPr>
      <w:ind w:left="-1418"/>
    </w:pPr>
    <w:rPr>
      <w:sz w:val="2"/>
      <w:szCs w:val="2"/>
    </w:rPr>
  </w:style>
  <w:style w:type="character" w:styleId="PageNumber">
    <w:name w:val="page number"/>
    <w:basedOn w:val="DefaultParagraphFont"/>
    <w:rsid w:val="006D7278"/>
  </w:style>
  <w:style w:type="paragraph" w:styleId="Quote">
    <w:name w:val="Quote"/>
    <w:basedOn w:val="Heading1"/>
    <w:link w:val="QuoteChar"/>
    <w:qFormat/>
    <w:rsid w:val="006D7278"/>
    <w:rPr>
      <w:b w:val="0"/>
      <w:sz w:val="72"/>
      <w:szCs w:val="72"/>
      <w:lang w:val="en-NZ"/>
    </w:rPr>
  </w:style>
  <w:style w:type="character" w:customStyle="1" w:styleId="QuoteChar">
    <w:name w:val="Quote Char"/>
    <w:basedOn w:val="DefaultParagraphFont"/>
    <w:link w:val="Quote"/>
    <w:rsid w:val="006D72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7278"/>
    <w:pPr>
      <w:pageBreakBefore/>
    </w:pPr>
  </w:style>
  <w:style w:type="paragraph" w:customStyle="1" w:styleId="Border">
    <w:name w:val="Border"/>
    <w:basedOn w:val="Normal"/>
    <w:qFormat/>
    <w:rsid w:val="006D72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7278"/>
    <w:rPr>
      <w:b/>
      <w:bCs/>
      <w:i/>
      <w:iCs/>
      <w:color w:val="auto"/>
    </w:rPr>
  </w:style>
  <w:style w:type="paragraph" w:styleId="IntenseQuote">
    <w:name w:val="Intense Quote"/>
    <w:basedOn w:val="Normal"/>
    <w:next w:val="Normal"/>
    <w:link w:val="IntenseQuoteChar"/>
    <w:uiPriority w:val="30"/>
    <w:qFormat/>
    <w:rsid w:val="006D72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72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7278"/>
    <w:rPr>
      <w:smallCaps/>
      <w:color w:val="auto"/>
      <w:u w:val="single"/>
    </w:rPr>
  </w:style>
  <w:style w:type="character" w:styleId="IntenseReference">
    <w:name w:val="Intense Reference"/>
    <w:basedOn w:val="DefaultParagraphFont"/>
    <w:uiPriority w:val="32"/>
    <w:qFormat/>
    <w:rsid w:val="006D7278"/>
    <w:rPr>
      <w:b/>
      <w:bCs/>
      <w:smallCaps/>
      <w:color w:val="auto"/>
      <w:spacing w:val="5"/>
      <w:u w:val="single"/>
    </w:rPr>
  </w:style>
  <w:style w:type="paragraph" w:customStyle="1" w:styleId="2ColumnHeading">
    <w:name w:val="2Column Heading"/>
    <w:basedOn w:val="BodyText"/>
    <w:qFormat/>
    <w:rsid w:val="006D7278"/>
    <w:pPr>
      <w:spacing w:after="60"/>
      <w:ind w:left="-2268"/>
    </w:pPr>
    <w:rPr>
      <w:b/>
    </w:rPr>
  </w:style>
  <w:style w:type="paragraph" w:customStyle="1" w:styleId="Heading1TOC">
    <w:name w:val="Heading1 TOC"/>
    <w:basedOn w:val="Normal"/>
    <w:qFormat/>
    <w:rsid w:val="006D7278"/>
    <w:pPr>
      <w:spacing w:before="240" w:after="120"/>
    </w:pPr>
    <w:rPr>
      <w:rFonts w:ascii="Times New Roman" w:hAnsi="Times New Roman"/>
      <w:b/>
      <w:sz w:val="32"/>
    </w:rPr>
  </w:style>
  <w:style w:type="paragraph" w:customStyle="1" w:styleId="Heading2TOC">
    <w:name w:val="Heading2 TOC"/>
    <w:basedOn w:val="Normal"/>
    <w:qFormat/>
    <w:rsid w:val="006D7278"/>
    <w:pPr>
      <w:spacing w:before="240" w:after="60"/>
    </w:pPr>
    <w:rPr>
      <w:rFonts w:ascii="Times New Roman" w:hAnsi="Times New Roman"/>
      <w:b/>
      <w:sz w:val="28"/>
    </w:rPr>
  </w:style>
  <w:style w:type="character" w:customStyle="1" w:styleId="Underline">
    <w:name w:val="Underline"/>
    <w:basedOn w:val="DefaultParagraphFont"/>
    <w:qFormat/>
    <w:rsid w:val="006D7278"/>
    <w:rPr>
      <w:u w:val="single"/>
    </w:rPr>
  </w:style>
  <w:style w:type="character" w:customStyle="1" w:styleId="BoldandItalics">
    <w:name w:val="Bold and Italics"/>
    <w:qFormat/>
    <w:rsid w:val="006D7278"/>
    <w:rPr>
      <w:b/>
      <w:i/>
      <w:u w:val="none"/>
    </w:rPr>
  </w:style>
  <w:style w:type="paragraph" w:styleId="BalloonText">
    <w:name w:val="Balloon Text"/>
    <w:basedOn w:val="Normal"/>
    <w:link w:val="BalloonTextChar"/>
    <w:rsid w:val="006D7278"/>
    <w:rPr>
      <w:rFonts w:ascii="Tahoma" w:hAnsi="Tahoma" w:cs="Tahoma"/>
      <w:sz w:val="16"/>
      <w:szCs w:val="16"/>
    </w:rPr>
  </w:style>
  <w:style w:type="character" w:customStyle="1" w:styleId="BalloonTextChar">
    <w:name w:val="Balloon Text Char"/>
    <w:basedOn w:val="DefaultParagraphFont"/>
    <w:link w:val="BalloonText"/>
    <w:rsid w:val="006D72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72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72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7278"/>
    <w:rPr>
      <w:b/>
      <w:color w:val="660033"/>
      <w:spacing w:val="0"/>
    </w:rPr>
  </w:style>
  <w:style w:type="paragraph" w:customStyle="1" w:styleId="Nameditemlist">
    <w:name w:val="Named item list"/>
    <w:basedOn w:val="BodyText"/>
    <w:qFormat/>
    <w:rsid w:val="006D7278"/>
    <w:pPr>
      <w:tabs>
        <w:tab w:val="left" w:pos="2835"/>
      </w:tabs>
      <w:ind w:left="2835" w:hanging="2835"/>
    </w:pPr>
  </w:style>
  <w:style w:type="paragraph" w:customStyle="1" w:styleId="BodyTextnopadding">
    <w:name w:val="Body Text no padding"/>
    <w:basedOn w:val="BodyText"/>
    <w:qFormat/>
    <w:rsid w:val="006D7278"/>
    <w:pPr>
      <w:spacing w:before="0" w:after="0"/>
    </w:pPr>
  </w:style>
  <w:style w:type="paragraph" w:customStyle="1" w:styleId="BodyTextBold">
    <w:name w:val="Body Text Bold"/>
    <w:basedOn w:val="BodyText"/>
    <w:qFormat/>
    <w:rsid w:val="006D7278"/>
    <w:rPr>
      <w:b/>
    </w:rPr>
  </w:style>
  <w:style w:type="character" w:styleId="Hyperlink">
    <w:name w:val="Hyperlink"/>
    <w:basedOn w:val="DefaultParagraphFont"/>
    <w:uiPriority w:val="99"/>
    <w:unhideWhenUsed/>
    <w:rsid w:val="005131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893</Words>
  <Characters>5656</Characters>
  <Application>Microsoft Office Word</Application>
  <DocSecurity>0</DocSecurity>
  <Lines>257</Lines>
  <Paragraphs>128</Paragraphs>
  <ScaleCrop>false</ScaleCrop>
  <Company>Author-it Software Corporation Ltd.</Company>
  <LinksUpToDate>false</LinksUpToDate>
  <CharactersWithSpaces>6421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CPCCST4005 Prepare drawings for heritage works</dc:title>
  <dc:subject>Approved</dc:subject>
  <dc:creator>BuildSkills Australia</dc:creator>
  <cp:keywords>Release: 2</cp:keywords>
  <dc:description>Review Date: 12 April 2008</dc:description>
  <cp:lastModifiedBy>HSD_TPCMSd.prod</cp:lastModifiedBy>
  <cp:revision>3</cp:revision>
  <dcterms:created xsi:type="dcterms:W3CDTF">2024-12-24T00:57:00Z</dcterms:created>
  <dcterms:modified xsi:type="dcterms:W3CDTF">2024-12-24T00:57:00Z</dcterms:modified>
</cp:coreProperties>
</file>