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FFC" w:rsidP="00D17F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CPCCST4005 Prepare drawings for heritage works</w:t>
      </w:r>
      <w:r>
        <w:fldChar w:fldCharType="end"/>
      </w:r>
    </w:p>
    <w:p w:rsidR="00D17FFC" w:rsidP="00D17FFC">
      <w:pPr>
        <w:pStyle w:val="Version"/>
        <w:sectPr w:rsidSect="00CE57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5740" w:rsidP="00CE5740">
      <w:pPr>
        <w:pStyle w:val="SuperHeading"/>
      </w:pPr>
      <w:r w:rsidRPr="00CE5740">
        <w:t>Assessment Requirements for CPCCST4005 Prepare drawings for heritage works</w:t>
      </w:r>
    </w:p>
    <w:p w:rsidR="00000000" w:rsidRPr="00CE5740" w:rsidP="00CE5740">
      <w:pPr>
        <w:pStyle w:val="Heading1"/>
      </w:pPr>
      <w:bookmarkStart w:id="1" w:name="O_1161016"/>
      <w:bookmarkEnd w:id="1"/>
      <w:r w:rsidRPr="00CE57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CE5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40">
            <w:pPr>
              <w:pStyle w:val="BodyText"/>
              <w:rPr>
                <w:lang w:val="en-NZ"/>
              </w:rPr>
            </w:pPr>
            <w:r w:rsidRPr="00CE57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40" w:rsidP="00CE5740">
            <w:pPr>
              <w:pStyle w:val="BodyText"/>
            </w:pPr>
            <w:r w:rsidRPr="00CE5740">
              <w:t>This version first released with CPC Construction, Plumbing and Services Training Package Release 5.1.</w:t>
            </w:r>
          </w:p>
          <w:p w:rsidR="00000000" w:rsidP="00CE5740">
            <w:pPr>
              <w:pStyle w:val="BodyText"/>
              <w:rPr>
                <w:lang w:val="en-NZ"/>
              </w:rPr>
            </w:pPr>
            <w:r w:rsidRPr="00CE5740">
              <w:t>Unit Sector changed. Element 2.4 added to Performance Criteria. Foundation Skills formatted for clarity.</w:t>
            </w:r>
          </w:p>
        </w:tc>
      </w:tr>
      <w:tr w:rsidTr="00CE5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40">
            <w:pPr>
              <w:pStyle w:val="BodyText"/>
              <w:rPr>
                <w:lang w:val="en-NZ"/>
              </w:rPr>
            </w:pPr>
            <w:r w:rsidRPr="00CE57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40" w:rsidP="00CE5740">
            <w:pPr>
              <w:pStyle w:val="BodyText"/>
            </w:pPr>
            <w:r w:rsidRPr="00CE5740">
              <w:t>This version first released with CPC Construction, Plumbing and Services Training Package Release 5.0.</w:t>
            </w:r>
          </w:p>
          <w:p w:rsidR="00000000" w:rsidRPr="00CE5740" w:rsidP="00CE5740">
            <w:pPr>
              <w:pStyle w:val="BodyText"/>
            </w:pPr>
            <w:r w:rsidRPr="00CE5740">
              <w:t>Supersedes and equivalent to CPCCBC40</w:t>
            </w:r>
            <w:r w:rsidRPr="00CE5740">
              <w:t>37A Prepare drawings for heritage works.   Updated to meet the Standards for Training Packages 2012.</w:t>
            </w:r>
          </w:p>
        </w:tc>
      </w:tr>
    </w:tbl>
    <w:p w:rsidR="00000000" w:rsidRPr="00CE5740" w:rsidP="00CE5740">
      <w:pPr>
        <w:pStyle w:val="BodyText"/>
      </w:pPr>
    </w:p>
    <w:p w:rsidR="00000000" w:rsidRPr="00CE5740" w:rsidP="00CE5740">
      <w:pPr>
        <w:pStyle w:val="AllowPageBreak"/>
      </w:pPr>
    </w:p>
    <w:p w:rsidR="00000000" w:rsidRPr="00CE5740" w:rsidP="00CE5740">
      <w:pPr>
        <w:pStyle w:val="Heading1"/>
      </w:pPr>
      <w:bookmarkStart w:id="2" w:name="O_1161015"/>
      <w:bookmarkEnd w:id="2"/>
      <w:r w:rsidRPr="00CE5740">
        <w:t>Performance Evidence</w:t>
      </w:r>
    </w:p>
    <w:p w:rsidR="00000000" w:rsidRPr="00CE5740" w:rsidP="00D17FFC">
      <w:pPr>
        <w:pStyle w:val="BodyText"/>
      </w:pPr>
      <w:r w:rsidRPr="00CE5740">
        <w:t>To demonstrate competency, a candidate must meet the performance criteria of this unit by carrying out the necess</w:t>
      </w:r>
      <w:r w:rsidRPr="00CE5740">
        <w:t>ary preparatory processes and developing at least two examples of each form of drawing specified, using sample or case study heritage projects for any of the buildings listed below:</w:t>
      </w:r>
    </w:p>
    <w:p w:rsidR="00000000" w:rsidRPr="00CE5740" w:rsidP="00CE5740">
      <w:pPr>
        <w:pStyle w:val="ListBullet"/>
      </w:pPr>
      <w:r w:rsidRPr="00CE5740">
        <w:t>built or sculptured artefacts</w:t>
      </w:r>
    </w:p>
    <w:p w:rsidR="00000000" w:rsidRPr="00CE5740" w:rsidP="00CE5740">
      <w:pPr>
        <w:pStyle w:val="ListBullet"/>
      </w:pPr>
      <w:r w:rsidRPr="00CE5740">
        <w:t>cathedrals and churches</w:t>
      </w:r>
    </w:p>
    <w:p w:rsidR="00000000" w:rsidRPr="00CE5740" w:rsidP="00CE5740">
      <w:pPr>
        <w:pStyle w:val="ListBullet"/>
      </w:pPr>
      <w:r w:rsidRPr="00CE5740">
        <w:t>civic buildings</w:t>
      </w:r>
    </w:p>
    <w:p w:rsidR="00000000" w:rsidRPr="00CE5740" w:rsidP="00CE5740">
      <w:pPr>
        <w:pStyle w:val="ListBullet"/>
      </w:pPr>
      <w:r w:rsidRPr="00CE5740">
        <w:t>commercial and retail buildings</w:t>
      </w:r>
    </w:p>
    <w:p w:rsidR="00000000" w:rsidRPr="00CE5740" w:rsidP="00CE5740">
      <w:pPr>
        <w:pStyle w:val="ListBullet"/>
      </w:pPr>
      <w:r w:rsidRPr="00CE5740">
        <w:t>government buildings</w:t>
      </w:r>
    </w:p>
    <w:p w:rsidR="00000000" w:rsidRPr="00CE5740" w:rsidP="00CE5740">
      <w:pPr>
        <w:pStyle w:val="ListBullet"/>
      </w:pPr>
      <w:r w:rsidRPr="00CE5740">
        <w:t>houses</w:t>
      </w:r>
    </w:p>
    <w:p w:rsidR="00000000" w:rsidRPr="00CE5740" w:rsidP="00CE5740">
      <w:pPr>
        <w:pStyle w:val="ListBullet"/>
      </w:pPr>
      <w:r w:rsidRPr="00CE5740">
        <w:t>mansions</w:t>
      </w:r>
    </w:p>
    <w:p w:rsidR="00000000" w:rsidRPr="00CE5740" w:rsidP="00CE5740">
      <w:pPr>
        <w:pStyle w:val="ListBullet"/>
      </w:pPr>
      <w:r w:rsidRPr="00CE5740">
        <w:t>out buildings</w:t>
      </w:r>
    </w:p>
    <w:p w:rsidR="00000000" w:rsidRPr="00CE5740" w:rsidP="00CE5740">
      <w:pPr>
        <w:pStyle w:val="ListBullet"/>
      </w:pPr>
      <w:r w:rsidRPr="00CE5740">
        <w:t>wharves</w:t>
      </w:r>
    </w:p>
    <w:p w:rsidR="00000000" w:rsidRPr="00CE5740" w:rsidP="00D17FFC">
      <w:pPr>
        <w:pStyle w:val="BodyText"/>
      </w:pPr>
      <w:r w:rsidRPr="00CE5740">
        <w:t>In doing this, the candidate must:</w:t>
      </w:r>
    </w:p>
    <w:p w:rsidR="00000000" w:rsidRPr="00CE5740" w:rsidP="00CE5740">
      <w:pPr>
        <w:pStyle w:val="ListBullet"/>
      </w:pPr>
      <w:r w:rsidRPr="00CE5740">
        <w:t>demonstrate application of conservation principles and consultative processes associated with preservation of historic structures</w:t>
      </w:r>
    </w:p>
    <w:p w:rsidR="00000000" w:rsidRPr="00CE5740" w:rsidP="00CE5740">
      <w:pPr>
        <w:pStyle w:val="ListBullet"/>
      </w:pPr>
      <w:r w:rsidRPr="00CE5740">
        <w:t>comply with Work Health and Safety (WHS) regulations applicable to workplace operations</w:t>
      </w:r>
    </w:p>
    <w:p w:rsidR="00000000" w:rsidRPr="00CE5740" w:rsidP="00CE5740">
      <w:pPr>
        <w:pStyle w:val="ListBullet"/>
      </w:pPr>
      <w:r w:rsidRPr="00CE5740">
        <w:t>apply organisational quality procedures and processes within the context of preparing drawings to conservation requirements</w:t>
      </w:r>
    </w:p>
    <w:p w:rsidR="00000000" w:rsidRPr="00CE5740" w:rsidP="00CE5740">
      <w:pPr>
        <w:pStyle w:val="ListBullet"/>
      </w:pPr>
      <w:r w:rsidRPr="00CE5740">
        <w:t>apply recording and identification system f</w:t>
      </w:r>
      <w:r w:rsidRPr="00CE5740">
        <w:t>or measurements, locations and details</w:t>
      </w:r>
    </w:p>
    <w:p w:rsidR="00000000" w:rsidRPr="00CE5740" w:rsidP="00CE5740">
      <w:pPr>
        <w:pStyle w:val="ListBullet"/>
      </w:pPr>
      <w:r w:rsidRPr="00CE5740">
        <w:t>select and use appropriate processes, instruments and equipment to measure and record information</w:t>
      </w:r>
    </w:p>
    <w:p w:rsidR="00000000" w:rsidRPr="00CE5740" w:rsidP="00CE5740">
      <w:pPr>
        <w:pStyle w:val="ListBullet"/>
      </w:pPr>
      <w:r w:rsidRPr="00CE5740">
        <w:t>use appropriate and safe techniques to obtain measurements and details</w:t>
      </w:r>
    </w:p>
    <w:p w:rsidR="00000000" w:rsidRPr="00CE5740" w:rsidP="00CE5740">
      <w:pPr>
        <w:pStyle w:val="ListBullet"/>
      </w:pPr>
      <w:r w:rsidRPr="00CE5740">
        <w:t>apply accurate techniques in preparing informati</w:t>
      </w:r>
      <w:r w:rsidRPr="00CE5740">
        <w:t>on for related drawings</w:t>
      </w:r>
    </w:p>
    <w:p w:rsidR="00000000" w:rsidRPr="00CE5740" w:rsidP="00CE5740">
      <w:pPr>
        <w:pStyle w:val="ListBullet"/>
      </w:pPr>
      <w:r w:rsidRPr="00CE5740">
        <w:t>select and use appropriate techniques to ascertain accurate analysis of featured design shapes</w:t>
      </w:r>
    </w:p>
    <w:p w:rsidR="00000000" w:rsidRPr="00CE5740" w:rsidP="00CE5740">
      <w:pPr>
        <w:pStyle w:val="ListBullet"/>
      </w:pPr>
      <w:r w:rsidRPr="00CE5740">
        <w:t>apply techniques to ensure all relevant information is included in orthographic description</w:t>
      </w:r>
    </w:p>
    <w:p w:rsidR="00000000" w:rsidRPr="00CE5740" w:rsidP="00CE5740">
      <w:pPr>
        <w:pStyle w:val="ListBullet"/>
      </w:pPr>
      <w:r w:rsidRPr="00CE5740">
        <w:t>select and use appropriate techniques to prod</w:t>
      </w:r>
      <w:r w:rsidRPr="00CE5740">
        <w:t>uce accurate, sharp and complete drawings.</w:t>
      </w:r>
    </w:p>
    <w:p w:rsidR="00000000" w:rsidRPr="00CE5740" w:rsidP="00CE5740">
      <w:pPr>
        <w:pStyle w:val="AllowPageBreak"/>
      </w:pPr>
    </w:p>
    <w:p w:rsidR="00000000" w:rsidRPr="00CE5740" w:rsidP="00CE5740">
      <w:pPr>
        <w:pStyle w:val="Heading1"/>
      </w:pPr>
      <w:bookmarkStart w:id="3" w:name="O_1161014"/>
      <w:bookmarkEnd w:id="3"/>
      <w:r w:rsidRPr="00CE5740">
        <w:t>Knowledge Evidence</w:t>
      </w:r>
    </w:p>
    <w:p w:rsidR="00000000" w:rsidRPr="00CE5740" w:rsidP="00D17FFC">
      <w:pPr>
        <w:pStyle w:val="BodyText"/>
      </w:pPr>
      <w:r w:rsidRPr="00CE5740">
        <w:t>To be competent in this unit, a candidate must demonstrate knowledge of:</w:t>
      </w:r>
    </w:p>
    <w:p w:rsidR="00000000" w:rsidRPr="00CE5740" w:rsidP="00CE5740">
      <w:pPr>
        <w:pStyle w:val="ListBullet"/>
      </w:pPr>
      <w:r w:rsidRPr="00CE5740">
        <w:t>Australian standards - AS1100.101 and AS1100.301</w:t>
      </w:r>
    </w:p>
    <w:p w:rsidR="00000000" w:rsidRPr="00CE5740" w:rsidP="00CE5740">
      <w:pPr>
        <w:pStyle w:val="ListBullet"/>
      </w:pPr>
      <w:r w:rsidRPr="00CE5740">
        <w:t>conservation processes, including good conservation practice arising from principles of Burra Charter</w:t>
      </w:r>
    </w:p>
    <w:p w:rsidR="00000000" w:rsidRPr="00CE5740" w:rsidP="00CE5740">
      <w:pPr>
        <w:pStyle w:val="ListBullet"/>
      </w:pPr>
      <w:r w:rsidRPr="00CE5740">
        <w:t>finishing trade applications to materials</w:t>
      </w:r>
    </w:p>
    <w:p w:rsidR="00000000" w:rsidRPr="00CE5740" w:rsidP="00CE5740">
      <w:pPr>
        <w:pStyle w:val="ListBullet"/>
      </w:pPr>
      <w:r w:rsidRPr="00CE5740">
        <w:t>methods and processes relating to historic building construction, including the range and use of building materi</w:t>
      </w:r>
      <w:r w:rsidRPr="00CE5740">
        <w:t>als, structure of buildings and drafting techniques:</w:t>
      </w:r>
    </w:p>
    <w:p w:rsidR="00000000" w:rsidRPr="00CE5740" w:rsidP="00CE5740">
      <w:pPr>
        <w:pStyle w:val="ListBullet2"/>
      </w:pPr>
      <w:r w:rsidRPr="00CE5740">
        <w:t>drawings:</w:t>
      </w:r>
    </w:p>
    <w:p w:rsidR="00000000" w:rsidRPr="00CE5740" w:rsidP="00CE5740">
      <w:pPr>
        <w:pStyle w:val="ListBullet3"/>
      </w:pPr>
      <w:r w:rsidRPr="00CE5740">
        <w:t>development:</w:t>
      </w:r>
    </w:p>
    <w:p w:rsidR="00000000" w:rsidRPr="00CE5740" w:rsidP="00CE5740">
      <w:pPr>
        <w:pStyle w:val="ListBullet4"/>
      </w:pPr>
      <w:r w:rsidRPr="00CE5740">
        <w:t>computer aided drafting</w:t>
      </w:r>
    </w:p>
    <w:p w:rsidR="00000000" w:rsidRPr="00CE5740" w:rsidP="00CE5740">
      <w:pPr>
        <w:pStyle w:val="ListBullet4"/>
      </w:pPr>
      <w:r w:rsidRPr="00CE5740">
        <w:t>drafting techniques</w:t>
      </w:r>
    </w:p>
    <w:p w:rsidR="00000000" w:rsidRPr="00CE5740" w:rsidP="00CE5740">
      <w:pPr>
        <w:pStyle w:val="ListBullet4"/>
      </w:pPr>
      <w:r w:rsidRPr="00CE5740">
        <w:t>drawings developed in accordance with National Trust guidelines or  AS1100.101 - 1992 Technical Drawing - General</w:t>
      </w:r>
      <w:r w:rsidRPr="00CE5740">
        <w:t xml:space="preserve"> Principles, and AS1100.301 - 1985 Architectural Drawing.</w:t>
      </w:r>
    </w:p>
    <w:p w:rsidR="00000000" w:rsidRPr="00CE5740" w:rsidP="00CE5740">
      <w:pPr>
        <w:pStyle w:val="ListBullet3"/>
      </w:pPr>
      <w:r w:rsidRPr="00CE5740">
        <w:t>orthographic descriptions:</w:t>
      </w:r>
    </w:p>
    <w:p w:rsidR="00000000" w:rsidRPr="00CE5740" w:rsidP="00CE5740">
      <w:pPr>
        <w:pStyle w:val="ListBullet4"/>
      </w:pPr>
      <w:r w:rsidRPr="00CE5740">
        <w:t>front, rear and side elevations</w:t>
      </w:r>
    </w:p>
    <w:p w:rsidR="00000000" w:rsidRPr="00CE5740" w:rsidP="00CE5740">
      <w:pPr>
        <w:pStyle w:val="ListBullet4"/>
      </w:pPr>
      <w:r w:rsidRPr="00CE5740">
        <w:t>plans</w:t>
      </w:r>
    </w:p>
    <w:p w:rsidR="00000000" w:rsidRPr="00CE5740" w:rsidP="00CE5740">
      <w:pPr>
        <w:pStyle w:val="ListBullet4"/>
      </w:pPr>
      <w:r w:rsidRPr="00CE5740">
        <w:t>sectional elevations</w:t>
      </w:r>
    </w:p>
    <w:p w:rsidR="00000000" w:rsidRPr="00CE5740" w:rsidP="00CE5740">
      <w:pPr>
        <w:pStyle w:val="ListBullet4"/>
      </w:pPr>
      <w:r w:rsidRPr="00CE5740">
        <w:t>sectional plans</w:t>
      </w:r>
    </w:p>
    <w:p w:rsidR="00000000" w:rsidRPr="00CE5740" w:rsidP="00CE5740">
      <w:pPr>
        <w:pStyle w:val="ListBullet3"/>
      </w:pPr>
      <w:r w:rsidRPr="00CE5740">
        <w:t>sectioned detail drawings:</w:t>
      </w:r>
    </w:p>
    <w:p w:rsidR="00000000" w:rsidRPr="00CE5740" w:rsidP="00CE5740">
      <w:pPr>
        <w:pStyle w:val="ListBullet4"/>
      </w:pPr>
      <w:r w:rsidRPr="00CE5740">
        <w:t>ceiling and roof framing construction</w:t>
      </w:r>
    </w:p>
    <w:p w:rsidR="00000000" w:rsidRPr="00CE5740" w:rsidP="00CE5740">
      <w:pPr>
        <w:pStyle w:val="ListBullet4"/>
      </w:pPr>
      <w:r w:rsidRPr="00CE5740">
        <w:t>ceiling construction</w:t>
      </w:r>
    </w:p>
    <w:p w:rsidR="00000000" w:rsidRPr="00CE5740" w:rsidP="00CE5740">
      <w:pPr>
        <w:pStyle w:val="ListBullet4"/>
      </w:pPr>
      <w:r w:rsidRPr="00CE5740">
        <w:t>chimne</w:t>
      </w:r>
      <w:r w:rsidRPr="00CE5740">
        <w:t>y construction</w:t>
      </w:r>
    </w:p>
    <w:p w:rsidR="00000000" w:rsidRPr="00CE5740" w:rsidP="00CE5740">
      <w:pPr>
        <w:pStyle w:val="ListBullet4"/>
      </w:pPr>
      <w:r w:rsidRPr="00CE5740">
        <w:t>cladding details</w:t>
      </w:r>
    </w:p>
    <w:p w:rsidR="00000000" w:rsidRPr="00CE5740" w:rsidP="00CE5740">
      <w:pPr>
        <w:pStyle w:val="ListBullet4"/>
      </w:pPr>
      <w:r w:rsidRPr="00CE5740">
        <w:t>external wall construction</w:t>
      </w:r>
    </w:p>
    <w:p w:rsidR="00000000" w:rsidRPr="00CE5740" w:rsidP="00CE5740">
      <w:pPr>
        <w:pStyle w:val="ListBullet4"/>
      </w:pPr>
      <w:r w:rsidRPr="00CE5740">
        <w:t>fence construction</w:t>
      </w:r>
    </w:p>
    <w:p w:rsidR="00000000" w:rsidRPr="00CE5740" w:rsidP="00CE5740">
      <w:pPr>
        <w:pStyle w:val="ListBullet4"/>
      </w:pPr>
      <w:r w:rsidRPr="00CE5740">
        <w:t>footings and foundation</w:t>
      </w:r>
    </w:p>
    <w:p w:rsidR="00000000" w:rsidRPr="00CE5740" w:rsidP="00CE5740">
      <w:pPr>
        <w:pStyle w:val="ListBullet4"/>
      </w:pPr>
      <w:r w:rsidRPr="00CE5740">
        <w:t>internal wall construction</w:t>
      </w:r>
    </w:p>
    <w:p w:rsidR="00000000" w:rsidRPr="00CE5740" w:rsidP="00CE5740">
      <w:pPr>
        <w:pStyle w:val="ListBullet4"/>
      </w:pPr>
      <w:r w:rsidRPr="00CE5740">
        <w:t>roofing details</w:t>
      </w:r>
    </w:p>
    <w:p w:rsidR="00000000" w:rsidRPr="00CE5740" w:rsidP="00CE5740">
      <w:pPr>
        <w:pStyle w:val="ListBullet4"/>
      </w:pPr>
      <w:r w:rsidRPr="00CE5740">
        <w:t>sub-floor construction</w:t>
      </w:r>
    </w:p>
    <w:p w:rsidR="00000000" w:rsidRPr="00CE5740" w:rsidP="00CE5740">
      <w:pPr>
        <w:pStyle w:val="ListBullet2"/>
      </w:pPr>
      <w:r w:rsidRPr="00CE5740">
        <w:t>methods to determine dimensions:</w:t>
      </w:r>
    </w:p>
    <w:p w:rsidR="00000000" w:rsidRPr="00CE5740" w:rsidP="00CE5740">
      <w:pPr>
        <w:pStyle w:val="ListBullet3"/>
      </w:pPr>
      <w:r w:rsidRPr="00CE5740">
        <w:t>accurately trace shapes or features</w:t>
      </w:r>
    </w:p>
    <w:p w:rsidR="00000000" w:rsidRPr="00CE5740" w:rsidP="00CE5740">
      <w:pPr>
        <w:pStyle w:val="ListBullet3"/>
      </w:pPr>
      <w:r w:rsidRPr="00CE5740">
        <w:t xml:space="preserve">calculate height </w:t>
      </w:r>
      <w:r w:rsidRPr="00CE5740">
        <w:t>by use of levelling equipment and/or trigonometry</w:t>
      </w:r>
    </w:p>
    <w:p w:rsidR="00000000" w:rsidRPr="00CE5740" w:rsidP="00CE5740">
      <w:pPr>
        <w:pStyle w:val="ListBullet3"/>
      </w:pPr>
      <w:r w:rsidRPr="00CE5740">
        <w:t>physically tape and measure all internal and external measurement</w:t>
      </w:r>
    </w:p>
    <w:p w:rsidR="00000000" w:rsidRPr="00CE5740" w:rsidP="00CE5740">
      <w:pPr>
        <w:pStyle w:val="ListBullet3"/>
      </w:pPr>
      <w:r w:rsidRPr="00CE5740">
        <w:t>scale proportion of roof, chimney and spire heights from photograph where wall height is determined</w:t>
      </w:r>
    </w:p>
    <w:p w:rsidR="00000000" w:rsidRPr="00CE5740" w:rsidP="00CE5740">
      <w:pPr>
        <w:pStyle w:val="ListBullet"/>
      </w:pPr>
      <w:r w:rsidRPr="00CE5740">
        <w:t>methods of measuring</w:t>
      </w:r>
    </w:p>
    <w:p w:rsidR="00000000" w:rsidRPr="00CE5740" w:rsidP="00CE5740">
      <w:pPr>
        <w:pStyle w:val="ListBullet"/>
      </w:pPr>
      <w:r w:rsidRPr="00CE5740">
        <w:t>relevant architect</w:t>
      </w:r>
      <w:r w:rsidRPr="00CE5740">
        <w:t>ural knowledge, including orders of architecture and the characteristics and features of period architecture:</w:t>
      </w:r>
    </w:p>
    <w:p w:rsidR="00000000" w:rsidRPr="00CE5740" w:rsidP="00CE5740">
      <w:pPr>
        <w:pStyle w:val="ListBullet2"/>
      </w:pPr>
      <w:r w:rsidRPr="00CE5740">
        <w:t>feature work:</w:t>
      </w:r>
    </w:p>
    <w:p w:rsidR="00000000" w:rsidRPr="00CE5740" w:rsidP="00CE5740">
      <w:pPr>
        <w:pStyle w:val="ListBullet3"/>
      </w:pPr>
      <w:r w:rsidRPr="00CE5740">
        <w:t>decorative tiling</w:t>
      </w:r>
    </w:p>
    <w:p w:rsidR="00000000" w:rsidRPr="00CE5740" w:rsidP="00CE5740">
      <w:pPr>
        <w:pStyle w:val="ListBullet3"/>
      </w:pPr>
      <w:r w:rsidRPr="00CE5740">
        <w:t>mosaic tiling</w:t>
      </w:r>
    </w:p>
    <w:p w:rsidR="00000000" w:rsidRPr="00CE5740" w:rsidP="00CE5740">
      <w:pPr>
        <w:pStyle w:val="ListBullet3"/>
      </w:pPr>
      <w:r w:rsidRPr="00CE5740">
        <w:t>ornamental mouldings</w:t>
      </w:r>
    </w:p>
    <w:p w:rsidR="00000000" w:rsidRPr="00CE5740" w:rsidP="00CE5740">
      <w:pPr>
        <w:pStyle w:val="ListBullet3"/>
      </w:pPr>
      <w:r w:rsidRPr="00CE5740">
        <w:t>ornamental plasterwork</w:t>
      </w:r>
    </w:p>
    <w:p w:rsidR="00000000" w:rsidRPr="00CE5740" w:rsidP="00CE5740">
      <w:pPr>
        <w:pStyle w:val="ListBullet3"/>
      </w:pPr>
      <w:r w:rsidRPr="00CE5740">
        <w:t>ornamental stonework</w:t>
      </w:r>
    </w:p>
    <w:p w:rsidR="00000000" w:rsidRPr="00CE5740" w:rsidP="00CE5740">
      <w:pPr>
        <w:pStyle w:val="ListBullet2"/>
      </w:pPr>
      <w:r w:rsidRPr="00CE5740">
        <w:t>types of historical or significant buildings:</w:t>
      </w:r>
    </w:p>
    <w:p w:rsidR="00000000" w:rsidRPr="00CE5740" w:rsidP="00CE5740">
      <w:pPr>
        <w:pStyle w:val="ListBullet3"/>
      </w:pPr>
      <w:r w:rsidRPr="00CE5740">
        <w:t>built or sculptured artefacts</w:t>
      </w:r>
    </w:p>
    <w:p w:rsidR="00000000" w:rsidRPr="00CE5740" w:rsidP="00CE5740">
      <w:pPr>
        <w:pStyle w:val="ListBullet3"/>
      </w:pPr>
      <w:r w:rsidRPr="00CE5740">
        <w:t>cathedrals and churches</w:t>
      </w:r>
    </w:p>
    <w:p w:rsidR="00000000" w:rsidRPr="00CE5740" w:rsidP="00CE5740">
      <w:pPr>
        <w:pStyle w:val="ListBullet3"/>
      </w:pPr>
      <w:r w:rsidRPr="00CE5740">
        <w:t>civic buildings</w:t>
      </w:r>
    </w:p>
    <w:p w:rsidR="00000000" w:rsidRPr="00CE5740" w:rsidP="00CE5740">
      <w:pPr>
        <w:pStyle w:val="ListBullet3"/>
      </w:pPr>
      <w:r w:rsidRPr="00CE5740">
        <w:t>commercial and retail buildings</w:t>
      </w:r>
    </w:p>
    <w:p w:rsidR="00000000" w:rsidRPr="00CE5740" w:rsidP="00CE5740">
      <w:pPr>
        <w:pStyle w:val="ListBullet3"/>
      </w:pPr>
      <w:r w:rsidRPr="00CE5740">
        <w:t>doors</w:t>
      </w:r>
    </w:p>
    <w:p w:rsidR="00000000" w:rsidRPr="00CE5740" w:rsidP="00CE5740">
      <w:pPr>
        <w:pStyle w:val="ListBullet3"/>
      </w:pPr>
      <w:r w:rsidRPr="00CE5740">
        <w:t>external features</w:t>
      </w:r>
    </w:p>
    <w:p w:rsidR="00000000" w:rsidRPr="00CE5740" w:rsidP="00CE5740">
      <w:pPr>
        <w:pStyle w:val="ListBullet3"/>
      </w:pPr>
      <w:r w:rsidRPr="00CE5740">
        <w:t>fences</w:t>
      </w:r>
    </w:p>
    <w:p w:rsidR="00000000" w:rsidRPr="00CE5740" w:rsidP="00CE5740">
      <w:pPr>
        <w:pStyle w:val="ListBullet3"/>
      </w:pPr>
      <w:r w:rsidRPr="00CE5740">
        <w:t>government buildings</w:t>
      </w:r>
    </w:p>
    <w:p w:rsidR="00000000" w:rsidRPr="00CE5740" w:rsidP="00CE5740">
      <w:pPr>
        <w:pStyle w:val="ListBullet3"/>
      </w:pPr>
      <w:r w:rsidRPr="00CE5740">
        <w:t>houses</w:t>
      </w:r>
    </w:p>
    <w:p w:rsidR="00000000" w:rsidRPr="00CE5740" w:rsidP="00CE5740">
      <w:pPr>
        <w:pStyle w:val="ListBullet3"/>
      </w:pPr>
      <w:r w:rsidRPr="00CE5740">
        <w:t>mansions</w:t>
      </w:r>
    </w:p>
    <w:p w:rsidR="00000000" w:rsidRPr="00CE5740" w:rsidP="00CE5740">
      <w:pPr>
        <w:pStyle w:val="ListBullet3"/>
      </w:pPr>
      <w:r w:rsidRPr="00CE5740">
        <w:t>out buildings</w:t>
      </w:r>
    </w:p>
    <w:p w:rsidR="00000000" w:rsidRPr="00CE5740" w:rsidP="00CE5740">
      <w:pPr>
        <w:pStyle w:val="ListBullet3"/>
      </w:pPr>
      <w:r w:rsidRPr="00CE5740">
        <w:t>walls</w:t>
      </w:r>
    </w:p>
    <w:p w:rsidR="00000000" w:rsidRPr="00CE5740" w:rsidP="00CE5740">
      <w:pPr>
        <w:pStyle w:val="ListBullet3"/>
      </w:pPr>
      <w:r w:rsidRPr="00CE5740">
        <w:t>wharves</w:t>
      </w:r>
    </w:p>
    <w:p w:rsidR="00000000" w:rsidRPr="00CE5740" w:rsidP="00CE5740">
      <w:pPr>
        <w:pStyle w:val="ListBullet3"/>
      </w:pPr>
      <w:r w:rsidRPr="00CE5740">
        <w:t>windows</w:t>
      </w:r>
    </w:p>
    <w:p w:rsidR="00000000" w:rsidRPr="00CE5740" w:rsidP="00CE5740">
      <w:pPr>
        <w:pStyle w:val="ListBullet"/>
      </w:pPr>
      <w:r w:rsidRPr="00CE5740">
        <w:t>workplace and equipment safety requirements, including relevant statutory regulations, codes and standards.</w:t>
      </w:r>
    </w:p>
    <w:p w:rsidR="00000000" w:rsidRPr="00CE5740" w:rsidP="00CE5740">
      <w:pPr>
        <w:pStyle w:val="AllowPageBreak"/>
      </w:pPr>
    </w:p>
    <w:p w:rsidR="00000000" w:rsidRPr="00CE5740" w:rsidP="00CE5740">
      <w:pPr>
        <w:pStyle w:val="Heading1"/>
      </w:pPr>
      <w:bookmarkStart w:id="4" w:name="O_1161013"/>
      <w:bookmarkEnd w:id="4"/>
      <w:r w:rsidRPr="00CE5740">
        <w:t>Assessment Conditions</w:t>
      </w:r>
    </w:p>
    <w:p w:rsidR="00000000" w:rsidRPr="00CE5740" w:rsidP="00D17FFC">
      <w:pPr>
        <w:pStyle w:val="BodyText"/>
      </w:pPr>
      <w:r w:rsidRPr="00CE5740">
        <w:t>Assessors must meet the requirements for assessors contained in the Standards for Registered Training Organ</w:t>
      </w:r>
      <w:r w:rsidRPr="00CE5740">
        <w:t xml:space="preserve">isations. </w:t>
      </w:r>
    </w:p>
    <w:p w:rsidR="00000000" w:rsidRPr="00CE5740" w:rsidP="00D17FFC">
      <w:pPr>
        <w:pStyle w:val="BodyText"/>
      </w:pPr>
      <w:r w:rsidRPr="00CE5740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CE5740" w:rsidP="00D17FFC">
      <w:pPr>
        <w:pStyle w:val="BodyText"/>
      </w:pPr>
      <w:r w:rsidRPr="00CE5740">
        <w:t>Assessors are responsible for ensuring that the person demonstrating competency has access to:</w:t>
      </w:r>
    </w:p>
    <w:p w:rsidR="00000000" w:rsidRPr="00CE5740" w:rsidP="00CE5740">
      <w:pPr>
        <w:pStyle w:val="ListBullet"/>
      </w:pPr>
      <w:r w:rsidRPr="00CE5740">
        <w:t>historic locations appropriate to competency range</w:t>
      </w:r>
    </w:p>
    <w:p w:rsidR="00000000" w:rsidRPr="00CE5740" w:rsidP="00CE5740">
      <w:pPr>
        <w:pStyle w:val="ListBullet"/>
      </w:pPr>
      <w:r w:rsidRPr="00CE5740">
        <w:t>drafting and computer equipment</w:t>
      </w:r>
    </w:p>
    <w:p w:rsidR="00000000" w:rsidRPr="00CE5740" w:rsidP="00CE5740">
      <w:pPr>
        <w:pStyle w:val="ListBullet"/>
      </w:pPr>
      <w:r w:rsidRPr="00CE5740">
        <w:t>equipment relevant to measuring processes.</w:t>
      </w:r>
    </w:p>
    <w:p w:rsidR="00000000" w:rsidRPr="00CE5740" w:rsidP="00CE5740">
      <w:pPr>
        <w:pStyle w:val="AllowPageBreak"/>
      </w:pPr>
    </w:p>
    <w:p w:rsidR="00000000" w:rsidRPr="00CE5740" w:rsidP="00CE5740">
      <w:pPr>
        <w:pStyle w:val="Heading1"/>
      </w:pPr>
      <w:bookmarkStart w:id="5" w:name="O_1161026"/>
      <w:bookmarkEnd w:id="5"/>
      <w:r w:rsidRPr="00CE5740">
        <w:t>Links</w:t>
      </w:r>
    </w:p>
    <w:p w:rsidR="00000000" w:rsidRPr="00CE5740" w:rsidP="00D17FFC">
      <w:pPr>
        <w:pStyle w:val="BodyText"/>
      </w:pPr>
      <w:r w:rsidRPr="00CE5740">
        <w:t>Companion</w:t>
      </w:r>
      <w:r w:rsidRPr="00CE5740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E42C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E5740" w:rsidP="00CE5740"/>
    <w:sectPr w:rsidSect="00CE57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40" w:rsidRPr="00D17FFC" w:rsidP="00D17F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FFC" w:rsidP="00CE5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FFC" w:rsidP="00CE5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17FFC" w:rsidP="00CE57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F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740" w:rsidRPr="00D17FFC" w:rsidP="00D17F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FFC" w:rsidRPr="002D2AF8" w:rsidP="00CE5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CPCCST4005 Prepare drawings for heritage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17FFC" w:rsidP="00CE57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627E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D48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1E90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7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7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7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7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7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7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7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7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7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7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7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740"/>
  </w:style>
  <w:style w:type="character" w:customStyle="1" w:styleId="Heading1Char">
    <w:name w:val="Heading 1 Char"/>
    <w:basedOn w:val="DefaultParagraphFont"/>
    <w:link w:val="Heading1"/>
    <w:rsid w:val="00CE57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7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7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740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5740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57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7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E5740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740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CE57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7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7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7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7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7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7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7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7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7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7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7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7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7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7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7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5740"/>
    <w:rPr>
      <w:b/>
      <w:spacing w:val="0"/>
    </w:rPr>
  </w:style>
  <w:style w:type="paragraph" w:customStyle="1" w:styleId="SuperTitle">
    <w:name w:val="SuperTitle"/>
    <w:basedOn w:val="Title"/>
    <w:rsid w:val="00CE57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7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7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7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7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7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7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7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7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7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7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7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740"/>
    <w:rPr>
      <w:i/>
    </w:rPr>
  </w:style>
  <w:style w:type="paragraph" w:styleId="Caption">
    <w:name w:val="caption"/>
    <w:basedOn w:val="BodyText"/>
    <w:next w:val="Normal"/>
    <w:qFormat/>
    <w:rsid w:val="00CE57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7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7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740"/>
  </w:style>
  <w:style w:type="paragraph" w:styleId="TableofFigures">
    <w:name w:val="table of figures"/>
    <w:basedOn w:val="Normal"/>
    <w:next w:val="Normal"/>
    <w:semiHidden/>
    <w:rsid w:val="00CE57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740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E5740"/>
    <w:rPr>
      <w:rFonts w:ascii="Wingdings" w:hAnsi="Wingdings"/>
    </w:rPr>
  </w:style>
  <w:style w:type="paragraph" w:customStyle="1" w:styleId="TableHeading">
    <w:name w:val="Table Heading"/>
    <w:basedOn w:val="HeadingBase"/>
    <w:rsid w:val="00CE57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740"/>
    <w:rPr>
      <w:color w:val="0033CC"/>
      <w:u w:val="none"/>
    </w:rPr>
  </w:style>
  <w:style w:type="paragraph" w:customStyle="1" w:styleId="BodyTextRight">
    <w:name w:val="Body Text Right"/>
    <w:basedOn w:val="BodyText"/>
    <w:rsid w:val="00CE57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7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740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7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7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7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740"/>
    <w:rPr>
      <w:sz w:val="32"/>
    </w:rPr>
  </w:style>
  <w:style w:type="paragraph" w:customStyle="1" w:styleId="HeadingProcedure">
    <w:name w:val="Heading Procedure"/>
    <w:basedOn w:val="HeadingBase"/>
    <w:next w:val="Normal"/>
    <w:rsid w:val="00CE57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740"/>
    <w:pPr>
      <w:spacing w:before="60" w:after="60"/>
    </w:pPr>
  </w:style>
  <w:style w:type="paragraph" w:styleId="ListContinue">
    <w:name w:val="List Continue"/>
    <w:basedOn w:val="List"/>
    <w:rsid w:val="00CE5740"/>
    <w:pPr>
      <w:ind w:firstLine="0"/>
    </w:pPr>
  </w:style>
  <w:style w:type="paragraph" w:customStyle="1" w:styleId="ListNote">
    <w:name w:val="List Note"/>
    <w:basedOn w:val="List"/>
    <w:rsid w:val="00CE57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7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7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740"/>
    <w:rPr>
      <w:rFonts w:ascii="Courier New" w:hAnsi="Courier New"/>
    </w:rPr>
  </w:style>
  <w:style w:type="paragraph" w:customStyle="1" w:styleId="NoteBullet">
    <w:name w:val="Note Bullet"/>
    <w:basedOn w:val="Note"/>
    <w:rsid w:val="00CE57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7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7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7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740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E57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7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740"/>
    <w:rPr>
      <w:b/>
      <w:smallCaps/>
    </w:rPr>
  </w:style>
  <w:style w:type="paragraph" w:customStyle="1" w:styleId="TableListNumber">
    <w:name w:val="Table List Number"/>
    <w:basedOn w:val="ListNumber"/>
    <w:rsid w:val="00CE57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7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740"/>
    <w:pPr>
      <w:numPr>
        <w:numId w:val="11"/>
      </w:numPr>
    </w:pPr>
  </w:style>
  <w:style w:type="paragraph" w:customStyle="1" w:styleId="ListAlpha2">
    <w:name w:val="List Alpha 2"/>
    <w:basedOn w:val="List2"/>
    <w:rsid w:val="00CE5740"/>
    <w:pPr>
      <w:numPr>
        <w:numId w:val="10"/>
      </w:numPr>
    </w:pPr>
  </w:style>
  <w:style w:type="paragraph" w:styleId="List2">
    <w:name w:val="List 2"/>
    <w:basedOn w:val="BodyText"/>
    <w:rsid w:val="00CE57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7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7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740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E5740"/>
    <w:pPr>
      <w:numPr>
        <w:numId w:val="6"/>
      </w:numPr>
    </w:pPr>
  </w:style>
  <w:style w:type="paragraph" w:styleId="ListContinue2">
    <w:name w:val="List Continue 2"/>
    <w:basedOn w:val="List2"/>
    <w:rsid w:val="00CE5740"/>
    <w:pPr>
      <w:ind w:firstLine="0"/>
    </w:pPr>
  </w:style>
  <w:style w:type="paragraph" w:styleId="ListContinue3">
    <w:name w:val="List Continue 3"/>
    <w:basedOn w:val="List3"/>
    <w:rsid w:val="00CE5740"/>
    <w:pPr>
      <w:ind w:left="1021" w:firstLine="0"/>
    </w:pPr>
  </w:style>
  <w:style w:type="paragraph" w:styleId="ListContinue4">
    <w:name w:val="List Continue 4"/>
    <w:basedOn w:val="List4"/>
    <w:rsid w:val="00CE5740"/>
    <w:pPr>
      <w:ind w:firstLine="0"/>
    </w:pPr>
  </w:style>
  <w:style w:type="paragraph" w:styleId="ListContinue5">
    <w:name w:val="List Continue 5"/>
    <w:basedOn w:val="List5"/>
    <w:rsid w:val="00CE5740"/>
    <w:pPr>
      <w:ind w:firstLine="0"/>
    </w:pPr>
  </w:style>
  <w:style w:type="paragraph" w:styleId="ListNumber3">
    <w:name w:val="List Number 3"/>
    <w:basedOn w:val="List3"/>
    <w:rsid w:val="00CE5740"/>
    <w:pPr>
      <w:numPr>
        <w:numId w:val="7"/>
      </w:numPr>
    </w:pPr>
  </w:style>
  <w:style w:type="paragraph" w:styleId="ListNumber4">
    <w:name w:val="List Number 4"/>
    <w:basedOn w:val="List4"/>
    <w:rsid w:val="00CE5740"/>
    <w:pPr>
      <w:numPr>
        <w:numId w:val="8"/>
      </w:numPr>
    </w:pPr>
  </w:style>
  <w:style w:type="paragraph" w:styleId="ListNumber5">
    <w:name w:val="List Number 5"/>
    <w:basedOn w:val="List5"/>
    <w:rsid w:val="00CE5740"/>
    <w:pPr>
      <w:numPr>
        <w:numId w:val="9"/>
      </w:numPr>
    </w:pPr>
  </w:style>
  <w:style w:type="paragraph" w:styleId="BlockText">
    <w:name w:val="Block Text"/>
    <w:basedOn w:val="Normal"/>
    <w:rsid w:val="00CE57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7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740"/>
    <w:rPr>
      <w:sz w:val="16"/>
      <w:vertAlign w:val="superscript"/>
    </w:rPr>
  </w:style>
  <w:style w:type="character" w:customStyle="1" w:styleId="Symbols">
    <w:name w:val="Symbols"/>
    <w:basedOn w:val="DefaultParagraphFont"/>
    <w:rsid w:val="00CE5740"/>
    <w:rPr>
      <w:rFonts w:ascii="Symbol" w:hAnsi="Symbol"/>
    </w:rPr>
  </w:style>
  <w:style w:type="character" w:customStyle="1" w:styleId="MenuOptions">
    <w:name w:val="Menu Options"/>
    <w:basedOn w:val="DefaultParagraphFont"/>
    <w:rsid w:val="00CE57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740"/>
    <w:rPr>
      <w:b/>
    </w:rPr>
  </w:style>
  <w:style w:type="character" w:customStyle="1" w:styleId="Underlined">
    <w:name w:val="Underlined"/>
    <w:basedOn w:val="DefaultParagraphFont"/>
    <w:rsid w:val="00CE5740"/>
    <w:rPr>
      <w:u w:val="single"/>
    </w:rPr>
  </w:style>
  <w:style w:type="paragraph" w:customStyle="1" w:styleId="TableBodyTextRight">
    <w:name w:val="Table Body Text Right"/>
    <w:basedOn w:val="TableBodyText"/>
    <w:rsid w:val="00CE57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740"/>
    <w:rPr>
      <w:sz w:val="18"/>
    </w:rPr>
  </w:style>
  <w:style w:type="paragraph" w:customStyle="1" w:styleId="BodySmallRight">
    <w:name w:val="Body Small Right"/>
    <w:basedOn w:val="BodyTextRight"/>
    <w:rsid w:val="00CE5740"/>
    <w:rPr>
      <w:sz w:val="18"/>
      <w:szCs w:val="18"/>
    </w:rPr>
  </w:style>
  <w:style w:type="paragraph" w:customStyle="1" w:styleId="MarginEdition">
    <w:name w:val="Margin Edition"/>
    <w:basedOn w:val="MarginNote"/>
    <w:rsid w:val="00CE57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740"/>
    <w:rPr>
      <w:sz w:val="2"/>
      <w:szCs w:val="2"/>
    </w:rPr>
  </w:style>
  <w:style w:type="character" w:customStyle="1" w:styleId="Small">
    <w:name w:val="Small"/>
    <w:basedOn w:val="DefaultParagraphFont"/>
    <w:rsid w:val="00CE5740"/>
    <w:rPr>
      <w:sz w:val="16"/>
    </w:rPr>
  </w:style>
  <w:style w:type="paragraph" w:customStyle="1" w:styleId="WideTable">
    <w:name w:val="Wide Table"/>
    <w:basedOn w:val="Normal"/>
    <w:rsid w:val="00CE57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740"/>
  </w:style>
  <w:style w:type="paragraph" w:styleId="Quote">
    <w:name w:val="Quote"/>
    <w:basedOn w:val="Heading1"/>
    <w:link w:val="QuoteChar"/>
    <w:qFormat/>
    <w:rsid w:val="00CE57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7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740"/>
    <w:pPr>
      <w:pageBreakBefore/>
    </w:pPr>
  </w:style>
  <w:style w:type="paragraph" w:customStyle="1" w:styleId="Border">
    <w:name w:val="Border"/>
    <w:basedOn w:val="Normal"/>
    <w:qFormat/>
    <w:rsid w:val="00CE57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7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7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7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7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7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7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7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7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740"/>
    <w:rPr>
      <w:u w:val="single"/>
    </w:rPr>
  </w:style>
  <w:style w:type="character" w:customStyle="1" w:styleId="BoldandItalics">
    <w:name w:val="Bold and Italics"/>
    <w:qFormat/>
    <w:rsid w:val="00CE5740"/>
    <w:rPr>
      <w:b/>
      <w:i/>
      <w:u w:val="none"/>
    </w:rPr>
  </w:style>
  <w:style w:type="paragraph" w:styleId="BalloonText">
    <w:name w:val="Balloon Text"/>
    <w:basedOn w:val="Normal"/>
    <w:link w:val="BalloonTextChar"/>
    <w:rsid w:val="00CE5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7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7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7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7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7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740"/>
    <w:pPr>
      <w:spacing w:before="0" w:after="0"/>
    </w:pPr>
  </w:style>
  <w:style w:type="paragraph" w:customStyle="1" w:styleId="BodyTextBold">
    <w:name w:val="Body Text Bold"/>
    <w:basedOn w:val="BodyText"/>
    <w:qFormat/>
    <w:rsid w:val="00CE5740"/>
    <w:rPr>
      <w:b/>
    </w:rPr>
  </w:style>
  <w:style w:type="character" w:styleId="Hyperlink">
    <w:name w:val="Hyperlink"/>
    <w:basedOn w:val="DefaultParagraphFont"/>
    <w:uiPriority w:val="99"/>
    <w:unhideWhenUsed/>
    <w:rsid w:val="00D17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4362</Characters>
  <Application>Microsoft Office Word</Application>
  <DocSecurity>0</DocSecurity>
  <Lines>136</Lines>
  <Paragraphs>111</Paragraphs>
  <ScaleCrop>false</ScaleCrop>
  <Company>Author-it Software Corporation Ltd.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CPCCST4005 Prepare drawings for heritage works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