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900" w:rsidP="004E2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CPCCST4004 Initiate the heritage works process</w:t>
      </w:r>
      <w:r>
        <w:fldChar w:fldCharType="end"/>
      </w:r>
    </w:p>
    <w:p w:rsidR="004E2900" w:rsidP="004E2900">
      <w:pPr>
        <w:pStyle w:val="Version"/>
        <w:sectPr w:rsidSect="00A70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012B" w:rsidP="00A7012B">
      <w:pPr>
        <w:pStyle w:val="SuperHeading"/>
      </w:pPr>
      <w:r w:rsidRPr="00A7012B">
        <w:t>Assessment Requirements for CPCCST4004 Initiate the heritage works process</w:t>
      </w:r>
    </w:p>
    <w:p w:rsidR="00000000" w:rsidRPr="00A7012B" w:rsidP="00A7012B">
      <w:pPr>
        <w:pStyle w:val="Heading1"/>
      </w:pPr>
      <w:bookmarkStart w:id="1" w:name="O_1161032"/>
      <w:bookmarkEnd w:id="1"/>
      <w:r w:rsidRPr="00A701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A70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2B">
            <w:pPr>
              <w:pStyle w:val="BodyText"/>
              <w:rPr>
                <w:lang w:val="en-NZ"/>
              </w:rPr>
            </w:pPr>
            <w:r w:rsidRPr="00A7012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2B" w:rsidP="00A7012B">
            <w:pPr>
              <w:pStyle w:val="BodyText"/>
            </w:pPr>
            <w:r w:rsidRPr="00A7012B">
              <w:t>This version first released with CPC Construction, Plumbing and Services Training Package Release 5.1.</w:t>
            </w:r>
          </w:p>
          <w:p w:rsidR="00000000" w:rsidP="00A7012B">
            <w:pPr>
              <w:pStyle w:val="BodyText"/>
              <w:rPr>
                <w:lang w:val="en-NZ"/>
              </w:rPr>
            </w:pPr>
            <w:r w:rsidRPr="00A7012B">
              <w:t>Typographical error corrected in Assessment Conditions.</w:t>
            </w:r>
          </w:p>
        </w:tc>
      </w:tr>
      <w:tr w:rsidTr="00A70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12B">
            <w:pPr>
              <w:pStyle w:val="BodyText"/>
              <w:rPr>
                <w:lang w:val="en-NZ"/>
              </w:rPr>
            </w:pPr>
            <w:r w:rsidRPr="00A701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12B" w:rsidP="00A7012B">
            <w:pPr>
              <w:pStyle w:val="BodyText"/>
            </w:pPr>
            <w:r w:rsidRPr="00A7012B">
              <w:t>This version first released with CPC Construction, Plumbing and Services Training Package Release 5.0.</w:t>
            </w:r>
          </w:p>
          <w:p w:rsidR="00000000" w:rsidRPr="00A7012B" w:rsidP="00A7012B">
            <w:pPr>
              <w:pStyle w:val="BodyText"/>
            </w:pPr>
            <w:r w:rsidRPr="00A7012B">
              <w:t>Supersedes and equivalent to CPCCBC4035A Initiate the heritage works process.  Updated</w:t>
            </w:r>
            <w:r w:rsidRPr="00A7012B">
              <w:t xml:space="preserve"> to meet the Standards for Training Packages 2012.</w:t>
            </w:r>
          </w:p>
        </w:tc>
      </w:tr>
    </w:tbl>
    <w:p w:rsidR="00000000" w:rsidRPr="00A7012B" w:rsidP="00A7012B">
      <w:pPr>
        <w:pStyle w:val="BodyText"/>
      </w:pPr>
    </w:p>
    <w:p w:rsidR="00000000" w:rsidRPr="00A7012B" w:rsidP="00A7012B">
      <w:pPr>
        <w:pStyle w:val="AllowPageBreak"/>
      </w:pPr>
    </w:p>
    <w:p w:rsidR="00000000" w:rsidRPr="00A7012B" w:rsidP="00A7012B">
      <w:pPr>
        <w:pStyle w:val="Heading1"/>
      </w:pPr>
      <w:bookmarkStart w:id="2" w:name="O_1161031"/>
      <w:bookmarkEnd w:id="2"/>
      <w:r w:rsidRPr="00A7012B">
        <w:t>Performance Evidence</w:t>
      </w:r>
    </w:p>
    <w:p w:rsidR="00000000" w:rsidRPr="00A7012B" w:rsidP="004E2900">
      <w:pPr>
        <w:pStyle w:val="BodyText"/>
      </w:pPr>
      <w:r w:rsidRPr="00A7012B">
        <w:t>To demonstrate competency, a candidate must meet the performance criteria of this unit by completing relevant processes and activities essential prior to the comme</w:t>
      </w:r>
      <w:r w:rsidRPr="00A7012B">
        <w:t>ncement of a heritage restoration project.</w:t>
      </w:r>
    </w:p>
    <w:p w:rsidR="00000000" w:rsidRPr="00A7012B" w:rsidP="004E2900">
      <w:pPr>
        <w:pStyle w:val="BodyText"/>
      </w:pPr>
      <w:r w:rsidRPr="00A7012B">
        <w:t>In doing this, the candidate must:</w:t>
      </w:r>
    </w:p>
    <w:p w:rsidR="00000000" w:rsidRPr="00A7012B" w:rsidP="00A7012B">
      <w:pPr>
        <w:pStyle w:val="ListBullet"/>
      </w:pPr>
      <w:r w:rsidRPr="00A7012B">
        <w:t>conduct consultative processes associated with preservation of historic structures</w:t>
      </w:r>
    </w:p>
    <w:p w:rsidR="00000000" w:rsidRPr="00A7012B" w:rsidP="00A7012B">
      <w:pPr>
        <w:pStyle w:val="ListBullet"/>
      </w:pPr>
      <w:r w:rsidRPr="00A7012B">
        <w:t>demonstrate understanding of preservation of fabric</w:t>
      </w:r>
    </w:p>
    <w:p w:rsidR="00000000" w:rsidRPr="00A7012B" w:rsidP="00A7012B">
      <w:pPr>
        <w:pStyle w:val="ListBullet"/>
      </w:pPr>
      <w:r w:rsidRPr="00A7012B">
        <w:t>comply with Work Health and Safety (WHS) regulations applicable to workplace operations</w:t>
      </w:r>
    </w:p>
    <w:p w:rsidR="00000000" w:rsidRPr="00A7012B" w:rsidP="00A7012B">
      <w:pPr>
        <w:pStyle w:val="ListBullet"/>
      </w:pPr>
      <w:r w:rsidRPr="00A7012B">
        <w:t>apply organisational quality procedures and processes within the context of initiating the heritage restoration process</w:t>
      </w:r>
    </w:p>
    <w:p w:rsidR="00000000" w:rsidRPr="00A7012B" w:rsidP="00A7012B">
      <w:pPr>
        <w:pStyle w:val="ListBullet"/>
      </w:pPr>
      <w:r w:rsidRPr="00A7012B">
        <w:t xml:space="preserve">identify job-specific requirements and inherent </w:t>
      </w:r>
      <w:r w:rsidRPr="00A7012B">
        <w:t>risks associated with heritage restoration</w:t>
      </w:r>
    </w:p>
    <w:p w:rsidR="00000000" w:rsidRPr="00A7012B" w:rsidP="00A7012B">
      <w:pPr>
        <w:pStyle w:val="ListBullet"/>
      </w:pPr>
      <w:r w:rsidRPr="00A7012B">
        <w:t>select and use appropriate processes to analyse and identify particular needs for projects</w:t>
      </w:r>
    </w:p>
    <w:p w:rsidR="00000000" w:rsidRPr="00A7012B" w:rsidP="00A7012B">
      <w:pPr>
        <w:pStyle w:val="ListBullet"/>
      </w:pPr>
      <w:r w:rsidRPr="00A7012B">
        <w:t>communicate and agree on expectations and timeframes for the work to be undertaken</w:t>
      </w:r>
    </w:p>
    <w:p w:rsidR="00000000" w:rsidRPr="00A7012B" w:rsidP="00A7012B">
      <w:pPr>
        <w:pStyle w:val="ListBullet"/>
      </w:pPr>
      <w:r w:rsidRPr="00A7012B">
        <w:t>apply appropriate techniques to cross-r</w:t>
      </w:r>
      <w:r w:rsidRPr="00A7012B">
        <w:t>eference interlocking or overlapping operations</w:t>
      </w:r>
    </w:p>
    <w:p w:rsidR="00000000" w:rsidRPr="00A7012B" w:rsidP="00A7012B">
      <w:pPr>
        <w:pStyle w:val="ListBullet"/>
      </w:pPr>
      <w:r w:rsidRPr="00A7012B">
        <w:t>demonstrate techniques to check and ensure relevant information and stages of preparation are fully covered</w:t>
      </w:r>
    </w:p>
    <w:p w:rsidR="00000000" w:rsidRPr="00A7012B" w:rsidP="00A7012B">
      <w:pPr>
        <w:pStyle w:val="ListBullet"/>
      </w:pPr>
      <w:r w:rsidRPr="00A7012B">
        <w:t>carry out interactive communication with others to ensure all factual information is gathered and sh</w:t>
      </w:r>
      <w:r w:rsidRPr="00A7012B">
        <w:t>ared with relevant stakeholders.</w:t>
      </w:r>
    </w:p>
    <w:p w:rsidR="00000000" w:rsidRPr="00A7012B" w:rsidP="00A7012B">
      <w:pPr>
        <w:pStyle w:val="AllowPageBreak"/>
      </w:pPr>
    </w:p>
    <w:p w:rsidR="00000000" w:rsidRPr="00A7012B" w:rsidP="00A7012B">
      <w:pPr>
        <w:pStyle w:val="Heading1"/>
      </w:pPr>
      <w:bookmarkStart w:id="3" w:name="O_1161030"/>
      <w:bookmarkEnd w:id="3"/>
      <w:r w:rsidRPr="00A7012B">
        <w:t>Knowledge Evidence</w:t>
      </w:r>
    </w:p>
    <w:p w:rsidR="00000000" w:rsidRPr="00A7012B" w:rsidP="004E2900">
      <w:pPr>
        <w:pStyle w:val="BodyText"/>
      </w:pPr>
      <w:r w:rsidRPr="00A7012B">
        <w:t>To be competent in this unit, a candidate must demonstrate knowledge of:</w:t>
      </w:r>
    </w:p>
    <w:p w:rsidR="00000000" w:rsidRPr="00A7012B" w:rsidP="00A7012B">
      <w:pPr>
        <w:pStyle w:val="ListBullet"/>
      </w:pPr>
      <w:r w:rsidRPr="00A7012B">
        <w:t>Australian standards relevant to the work</w:t>
      </w:r>
    </w:p>
    <w:p w:rsidR="00000000" w:rsidRPr="00A7012B" w:rsidP="00A7012B">
      <w:pPr>
        <w:pStyle w:val="ListBullet"/>
      </w:pPr>
      <w:r w:rsidRPr="00A7012B">
        <w:t xml:space="preserve">conservation processes, including good conservation practice arising </w:t>
      </w:r>
      <w:r w:rsidRPr="00A7012B">
        <w:t>from principles of Burra Charter</w:t>
      </w:r>
    </w:p>
    <w:p w:rsidR="00000000" w:rsidRPr="00A7012B" w:rsidP="00A7012B">
      <w:pPr>
        <w:pStyle w:val="ListBullet"/>
      </w:pPr>
      <w:r w:rsidRPr="00A7012B">
        <w:t>contractual requirements:</w:t>
      </w:r>
    </w:p>
    <w:p w:rsidR="00000000" w:rsidRPr="00A7012B" w:rsidP="00A7012B">
      <w:pPr>
        <w:pStyle w:val="ListBullet2"/>
      </w:pPr>
      <w:r w:rsidRPr="00A7012B">
        <w:t>materials to be used</w:t>
      </w:r>
    </w:p>
    <w:p w:rsidR="00000000" w:rsidRPr="00A7012B" w:rsidP="00A7012B">
      <w:pPr>
        <w:pStyle w:val="ListBullet2"/>
      </w:pPr>
      <w:r w:rsidRPr="00A7012B">
        <w:t>performance standards</w:t>
      </w:r>
    </w:p>
    <w:p w:rsidR="00000000" w:rsidRPr="00A7012B" w:rsidP="00A7012B">
      <w:pPr>
        <w:pStyle w:val="ListBullet2"/>
      </w:pPr>
      <w:r w:rsidRPr="00A7012B">
        <w:t>timeframes</w:t>
      </w:r>
    </w:p>
    <w:p w:rsidR="00000000" w:rsidRPr="00A7012B" w:rsidP="00A7012B">
      <w:pPr>
        <w:pStyle w:val="ListBullet"/>
      </w:pPr>
      <w:r w:rsidRPr="00A7012B">
        <w:t>dispute resolution processes</w:t>
      </w:r>
    </w:p>
    <w:p w:rsidR="00000000" w:rsidRPr="00A7012B" w:rsidP="00A7012B">
      <w:pPr>
        <w:pStyle w:val="ListBullet"/>
      </w:pPr>
      <w:r w:rsidRPr="00A7012B">
        <w:t>methods and processes relating to historic building construction, including the range and use of buildi</w:t>
      </w:r>
      <w:r w:rsidRPr="00A7012B">
        <w:t>ng materials, structure of buildings and drafting techniques:</w:t>
      </w:r>
    </w:p>
    <w:p w:rsidR="00000000" w:rsidRPr="00A7012B" w:rsidP="00A7012B">
      <w:pPr>
        <w:pStyle w:val="ListBullet2"/>
      </w:pPr>
      <w:r w:rsidRPr="00A7012B">
        <w:t>heavy and bulky equipment:</w:t>
      </w:r>
    </w:p>
    <w:p w:rsidR="00000000" w:rsidRPr="00A7012B" w:rsidP="00A7012B">
      <w:pPr>
        <w:pStyle w:val="ListBullet3"/>
      </w:pPr>
      <w:r w:rsidRPr="00A7012B">
        <w:t>compressors</w:t>
      </w:r>
    </w:p>
    <w:p w:rsidR="00000000" w:rsidRPr="00A7012B" w:rsidP="00A7012B">
      <w:pPr>
        <w:pStyle w:val="ListBullet3"/>
      </w:pPr>
      <w:r w:rsidRPr="00A7012B">
        <w:t>cranes</w:t>
      </w:r>
    </w:p>
    <w:p w:rsidR="00000000" w:rsidRPr="00A7012B" w:rsidP="00A7012B">
      <w:pPr>
        <w:pStyle w:val="ListBullet3"/>
      </w:pPr>
      <w:r w:rsidRPr="00A7012B">
        <w:t>excavators</w:t>
      </w:r>
    </w:p>
    <w:p w:rsidR="00000000" w:rsidRPr="00A7012B" w:rsidP="00A7012B">
      <w:pPr>
        <w:pStyle w:val="ListBullet3"/>
      </w:pPr>
      <w:r w:rsidRPr="00A7012B">
        <w:t>mobile scaffold or working platforms</w:t>
      </w:r>
    </w:p>
    <w:p w:rsidR="00000000" w:rsidRPr="00A7012B" w:rsidP="00A7012B">
      <w:pPr>
        <w:pStyle w:val="ListBullet2"/>
      </w:pPr>
      <w:r w:rsidRPr="00A7012B">
        <w:t>protection requirements:</w:t>
      </w:r>
    </w:p>
    <w:p w:rsidR="00000000" w:rsidRPr="00A7012B" w:rsidP="00A7012B">
      <w:pPr>
        <w:pStyle w:val="ListBullet3"/>
      </w:pPr>
      <w:r w:rsidRPr="00A7012B">
        <w:t>environmental protection</w:t>
      </w:r>
    </w:p>
    <w:p w:rsidR="00000000" w:rsidRPr="00A7012B" w:rsidP="00A7012B">
      <w:pPr>
        <w:pStyle w:val="ListBullet3"/>
      </w:pPr>
      <w:r w:rsidRPr="00A7012B">
        <w:t>protection for the public</w:t>
      </w:r>
    </w:p>
    <w:p w:rsidR="00000000" w:rsidRPr="00A7012B" w:rsidP="00A7012B">
      <w:pPr>
        <w:pStyle w:val="ListBullet2"/>
      </w:pPr>
      <w:r w:rsidRPr="00A7012B">
        <w:t>site access:</w:t>
      </w:r>
    </w:p>
    <w:p w:rsidR="00000000" w:rsidRPr="00A7012B" w:rsidP="00A7012B">
      <w:pPr>
        <w:pStyle w:val="ListBullet3"/>
      </w:pPr>
      <w:r w:rsidRPr="00A7012B">
        <w:t>access to structures and storage facilities or space, which may be limited</w:t>
      </w:r>
    </w:p>
    <w:p w:rsidR="00000000" w:rsidRPr="00A7012B" w:rsidP="00A7012B">
      <w:pPr>
        <w:pStyle w:val="ListBullet"/>
      </w:pPr>
      <w:r w:rsidRPr="00A7012B">
        <w:t>relevant architectural knowledge, including orders of architecture and the characteristics and features of period architecture</w:t>
      </w:r>
    </w:p>
    <w:p w:rsidR="00000000" w:rsidRPr="00A7012B" w:rsidP="00A7012B">
      <w:pPr>
        <w:pStyle w:val="ListBullet"/>
      </w:pPr>
      <w:r w:rsidRPr="00A7012B">
        <w:t>trade-specific techniques used in restoration work</w:t>
      </w:r>
    </w:p>
    <w:p w:rsidR="00000000" w:rsidRPr="00A7012B" w:rsidP="00A7012B">
      <w:pPr>
        <w:pStyle w:val="ListBullet"/>
      </w:pPr>
      <w:r w:rsidRPr="00A7012B">
        <w:t>workplace and equipment safety requirements, including relevant statutory regulations, codes and standards.</w:t>
      </w:r>
    </w:p>
    <w:p w:rsidR="00000000" w:rsidRPr="00A7012B" w:rsidP="00A7012B">
      <w:pPr>
        <w:pStyle w:val="AllowPageBreak"/>
      </w:pPr>
    </w:p>
    <w:p w:rsidR="00000000" w:rsidRPr="00A7012B" w:rsidP="00A7012B">
      <w:pPr>
        <w:pStyle w:val="Heading1"/>
      </w:pPr>
      <w:bookmarkStart w:id="4" w:name="O_1161029"/>
      <w:bookmarkEnd w:id="4"/>
      <w:r w:rsidRPr="00A7012B">
        <w:t>Assessment Conditions</w:t>
      </w:r>
    </w:p>
    <w:p w:rsidR="00000000" w:rsidRPr="00A7012B" w:rsidP="004E2900">
      <w:pPr>
        <w:pStyle w:val="BodyText"/>
      </w:pPr>
      <w:r w:rsidRPr="00A7012B">
        <w:t>Assessors must meet the requirements for assessors contained in the Standards for Registered Training Organ</w:t>
      </w:r>
      <w:r w:rsidRPr="00A7012B">
        <w:t xml:space="preserve">isations. </w:t>
      </w:r>
    </w:p>
    <w:p w:rsidR="00000000" w:rsidRPr="00A7012B" w:rsidP="004E2900">
      <w:pPr>
        <w:pStyle w:val="BodyText"/>
      </w:pPr>
      <w:r w:rsidRPr="00A7012B">
        <w:t xml:space="preserve">Assessment of performance must be undertaken in the workplace or in a simulated workplace environment. </w:t>
      </w:r>
    </w:p>
    <w:p w:rsidR="00000000" w:rsidRPr="00A7012B" w:rsidP="004E2900">
      <w:pPr>
        <w:pStyle w:val="BodyText"/>
      </w:pPr>
      <w:r w:rsidRPr="00A7012B">
        <w:t>Assessors are responsible for ensuring that the person demonstrating competency has access to:</w:t>
      </w:r>
    </w:p>
    <w:p w:rsidR="00000000" w:rsidRPr="00A7012B" w:rsidP="00A7012B">
      <w:pPr>
        <w:pStyle w:val="ListBullet"/>
      </w:pPr>
      <w:r w:rsidRPr="00A7012B">
        <w:t xml:space="preserve">a restoration project that is appropriate to </w:t>
      </w:r>
      <w:r w:rsidRPr="00A7012B">
        <w:t>be able to undertake the performance requirements of the units</w:t>
      </w:r>
    </w:p>
    <w:p w:rsidR="00000000" w:rsidRPr="00A7012B" w:rsidP="00A7012B">
      <w:pPr>
        <w:pStyle w:val="ListBullet"/>
      </w:pPr>
      <w:r w:rsidRPr="00A7012B">
        <w:t>appropriate documentation and data related to project.</w:t>
      </w:r>
    </w:p>
    <w:p w:rsidR="00000000" w:rsidRPr="00A7012B" w:rsidP="00A7012B">
      <w:pPr>
        <w:pStyle w:val="AllowPageBreak"/>
      </w:pPr>
    </w:p>
    <w:p w:rsidR="00000000" w:rsidRPr="00A7012B" w:rsidP="00A7012B">
      <w:pPr>
        <w:pStyle w:val="Heading1"/>
      </w:pPr>
      <w:bookmarkStart w:id="5" w:name="O_1161042"/>
      <w:bookmarkEnd w:id="5"/>
      <w:r w:rsidRPr="00A7012B">
        <w:t>Links</w:t>
      </w:r>
    </w:p>
    <w:p w:rsidR="00000000" w:rsidRPr="00A7012B" w:rsidP="004E2900">
      <w:pPr>
        <w:pStyle w:val="BodyText"/>
      </w:pPr>
      <w:r w:rsidRPr="00A7012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54B0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7012B" w:rsidP="00A7012B"/>
    <w:sectPr w:rsidSect="00A701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2B" w:rsidRPr="004E2900" w:rsidP="004E2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900" w:rsidP="00A70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900" w:rsidP="00A70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E2900" w:rsidP="00A70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12B" w:rsidRPr="004E2900" w:rsidP="004E2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900" w:rsidRPr="002D2AF8" w:rsidP="00A70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CPCCST4004 Initiate the heritage works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E2900" w:rsidP="00A70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ACE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C27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B2D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12B"/>
  </w:style>
  <w:style w:type="character" w:customStyle="1" w:styleId="Heading1Char">
    <w:name w:val="Heading 1 Char"/>
    <w:basedOn w:val="DefaultParagraphFont"/>
    <w:link w:val="Heading1"/>
    <w:rsid w:val="00A70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1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01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0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01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0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12B"/>
    <w:rPr>
      <w:b/>
      <w:spacing w:val="0"/>
    </w:rPr>
  </w:style>
  <w:style w:type="paragraph" w:customStyle="1" w:styleId="SuperTitle">
    <w:name w:val="SuperTitle"/>
    <w:basedOn w:val="Title"/>
    <w:rsid w:val="00A70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0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1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12B"/>
    <w:rPr>
      <w:i/>
    </w:rPr>
  </w:style>
  <w:style w:type="paragraph" w:styleId="Caption">
    <w:name w:val="caption"/>
    <w:basedOn w:val="BodyText"/>
    <w:next w:val="Normal"/>
    <w:qFormat/>
    <w:rsid w:val="00A70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12B"/>
  </w:style>
  <w:style w:type="paragraph" w:styleId="TableofFigures">
    <w:name w:val="table of figures"/>
    <w:basedOn w:val="Normal"/>
    <w:next w:val="Normal"/>
    <w:semiHidden/>
    <w:rsid w:val="00A70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1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012B"/>
    <w:rPr>
      <w:rFonts w:ascii="Wingdings" w:hAnsi="Wingdings"/>
    </w:rPr>
  </w:style>
  <w:style w:type="paragraph" w:customStyle="1" w:styleId="TableHeading">
    <w:name w:val="Table Heading"/>
    <w:basedOn w:val="HeadingBase"/>
    <w:rsid w:val="00A70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12B"/>
    <w:rPr>
      <w:color w:val="0033CC"/>
      <w:u w:val="none"/>
    </w:rPr>
  </w:style>
  <w:style w:type="paragraph" w:customStyle="1" w:styleId="BodyTextRight">
    <w:name w:val="Body Text Right"/>
    <w:basedOn w:val="BodyText"/>
    <w:rsid w:val="00A70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1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12B"/>
    <w:rPr>
      <w:sz w:val="32"/>
    </w:rPr>
  </w:style>
  <w:style w:type="paragraph" w:customStyle="1" w:styleId="HeadingProcedure">
    <w:name w:val="Heading Procedure"/>
    <w:basedOn w:val="HeadingBase"/>
    <w:next w:val="Normal"/>
    <w:rsid w:val="00A70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12B"/>
    <w:pPr>
      <w:spacing w:before="60" w:after="60"/>
    </w:pPr>
  </w:style>
  <w:style w:type="paragraph" w:styleId="ListContinue">
    <w:name w:val="List Continue"/>
    <w:basedOn w:val="List"/>
    <w:rsid w:val="00A7012B"/>
    <w:pPr>
      <w:ind w:firstLine="0"/>
    </w:pPr>
  </w:style>
  <w:style w:type="paragraph" w:customStyle="1" w:styleId="ListNote">
    <w:name w:val="List Note"/>
    <w:basedOn w:val="List"/>
    <w:rsid w:val="00A70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12B"/>
    <w:rPr>
      <w:rFonts w:ascii="Courier New" w:hAnsi="Courier New"/>
    </w:rPr>
  </w:style>
  <w:style w:type="paragraph" w:customStyle="1" w:styleId="NoteBullet">
    <w:name w:val="Note Bullet"/>
    <w:basedOn w:val="Note"/>
    <w:rsid w:val="00A70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1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0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12B"/>
    <w:rPr>
      <w:b/>
      <w:smallCaps/>
    </w:rPr>
  </w:style>
  <w:style w:type="paragraph" w:customStyle="1" w:styleId="TableListNumber">
    <w:name w:val="Table List Number"/>
    <w:basedOn w:val="ListNumber"/>
    <w:rsid w:val="00A70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12B"/>
    <w:pPr>
      <w:numPr>
        <w:numId w:val="10"/>
      </w:numPr>
    </w:pPr>
  </w:style>
  <w:style w:type="paragraph" w:customStyle="1" w:styleId="ListAlpha2">
    <w:name w:val="List Alpha 2"/>
    <w:basedOn w:val="List2"/>
    <w:rsid w:val="00A7012B"/>
    <w:pPr>
      <w:numPr>
        <w:numId w:val="9"/>
      </w:numPr>
    </w:pPr>
  </w:style>
  <w:style w:type="paragraph" w:styleId="List2">
    <w:name w:val="List 2"/>
    <w:basedOn w:val="BodyText"/>
    <w:rsid w:val="00A70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1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01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012B"/>
    <w:pPr>
      <w:numPr>
        <w:numId w:val="5"/>
      </w:numPr>
    </w:pPr>
  </w:style>
  <w:style w:type="paragraph" w:styleId="ListContinue2">
    <w:name w:val="List Continue 2"/>
    <w:basedOn w:val="List2"/>
    <w:rsid w:val="00A7012B"/>
    <w:pPr>
      <w:ind w:firstLine="0"/>
    </w:pPr>
  </w:style>
  <w:style w:type="paragraph" w:styleId="ListContinue3">
    <w:name w:val="List Continue 3"/>
    <w:basedOn w:val="List3"/>
    <w:rsid w:val="00A7012B"/>
    <w:pPr>
      <w:ind w:left="1021" w:firstLine="0"/>
    </w:pPr>
  </w:style>
  <w:style w:type="paragraph" w:styleId="ListContinue4">
    <w:name w:val="List Continue 4"/>
    <w:basedOn w:val="List4"/>
    <w:rsid w:val="00A7012B"/>
    <w:pPr>
      <w:ind w:firstLine="0"/>
    </w:pPr>
  </w:style>
  <w:style w:type="paragraph" w:styleId="ListContinue5">
    <w:name w:val="List Continue 5"/>
    <w:basedOn w:val="List5"/>
    <w:rsid w:val="00A7012B"/>
    <w:pPr>
      <w:ind w:firstLine="0"/>
    </w:pPr>
  </w:style>
  <w:style w:type="paragraph" w:styleId="ListNumber3">
    <w:name w:val="List Number 3"/>
    <w:basedOn w:val="List3"/>
    <w:rsid w:val="00A7012B"/>
    <w:pPr>
      <w:numPr>
        <w:numId w:val="6"/>
      </w:numPr>
    </w:pPr>
  </w:style>
  <w:style w:type="paragraph" w:styleId="ListNumber4">
    <w:name w:val="List Number 4"/>
    <w:basedOn w:val="List4"/>
    <w:rsid w:val="00A7012B"/>
    <w:pPr>
      <w:numPr>
        <w:numId w:val="7"/>
      </w:numPr>
    </w:pPr>
  </w:style>
  <w:style w:type="paragraph" w:styleId="ListNumber5">
    <w:name w:val="List Number 5"/>
    <w:basedOn w:val="List5"/>
    <w:rsid w:val="00A7012B"/>
    <w:pPr>
      <w:numPr>
        <w:numId w:val="8"/>
      </w:numPr>
    </w:pPr>
  </w:style>
  <w:style w:type="paragraph" w:styleId="BlockText">
    <w:name w:val="Block Text"/>
    <w:basedOn w:val="Normal"/>
    <w:rsid w:val="00A70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12B"/>
    <w:rPr>
      <w:sz w:val="16"/>
      <w:vertAlign w:val="superscript"/>
    </w:rPr>
  </w:style>
  <w:style w:type="character" w:customStyle="1" w:styleId="Symbols">
    <w:name w:val="Symbols"/>
    <w:basedOn w:val="DefaultParagraphFont"/>
    <w:rsid w:val="00A7012B"/>
    <w:rPr>
      <w:rFonts w:ascii="Symbol" w:hAnsi="Symbol"/>
    </w:rPr>
  </w:style>
  <w:style w:type="character" w:customStyle="1" w:styleId="MenuOptions">
    <w:name w:val="Menu Options"/>
    <w:basedOn w:val="DefaultParagraphFont"/>
    <w:rsid w:val="00A70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12B"/>
    <w:rPr>
      <w:b/>
    </w:rPr>
  </w:style>
  <w:style w:type="character" w:customStyle="1" w:styleId="Underlined">
    <w:name w:val="Underlined"/>
    <w:basedOn w:val="DefaultParagraphFont"/>
    <w:rsid w:val="00A7012B"/>
    <w:rPr>
      <w:u w:val="single"/>
    </w:rPr>
  </w:style>
  <w:style w:type="paragraph" w:customStyle="1" w:styleId="TableBodyTextRight">
    <w:name w:val="Table Body Text Right"/>
    <w:basedOn w:val="TableBodyText"/>
    <w:rsid w:val="00A70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12B"/>
    <w:rPr>
      <w:sz w:val="18"/>
    </w:rPr>
  </w:style>
  <w:style w:type="paragraph" w:customStyle="1" w:styleId="BodySmallRight">
    <w:name w:val="Body Small Right"/>
    <w:basedOn w:val="BodyTextRight"/>
    <w:rsid w:val="00A7012B"/>
    <w:rPr>
      <w:sz w:val="18"/>
      <w:szCs w:val="18"/>
    </w:rPr>
  </w:style>
  <w:style w:type="paragraph" w:customStyle="1" w:styleId="MarginEdition">
    <w:name w:val="Margin Edition"/>
    <w:basedOn w:val="MarginNote"/>
    <w:rsid w:val="00A70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12B"/>
    <w:rPr>
      <w:sz w:val="2"/>
      <w:szCs w:val="2"/>
    </w:rPr>
  </w:style>
  <w:style w:type="character" w:customStyle="1" w:styleId="Small">
    <w:name w:val="Small"/>
    <w:basedOn w:val="DefaultParagraphFont"/>
    <w:rsid w:val="00A7012B"/>
    <w:rPr>
      <w:sz w:val="16"/>
    </w:rPr>
  </w:style>
  <w:style w:type="paragraph" w:customStyle="1" w:styleId="WideTable">
    <w:name w:val="Wide Table"/>
    <w:basedOn w:val="Normal"/>
    <w:rsid w:val="00A70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12B"/>
  </w:style>
  <w:style w:type="paragraph" w:styleId="Quote">
    <w:name w:val="Quote"/>
    <w:basedOn w:val="Heading1"/>
    <w:link w:val="QuoteChar"/>
    <w:qFormat/>
    <w:rsid w:val="00A70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12B"/>
    <w:pPr>
      <w:pageBreakBefore/>
    </w:pPr>
  </w:style>
  <w:style w:type="paragraph" w:customStyle="1" w:styleId="Border">
    <w:name w:val="Border"/>
    <w:basedOn w:val="Normal"/>
    <w:qFormat/>
    <w:rsid w:val="00A70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12B"/>
    <w:rPr>
      <w:u w:val="single"/>
    </w:rPr>
  </w:style>
  <w:style w:type="character" w:customStyle="1" w:styleId="BoldandItalics">
    <w:name w:val="Bold and Italics"/>
    <w:qFormat/>
    <w:rsid w:val="00A7012B"/>
    <w:rPr>
      <w:b/>
      <w:i/>
      <w:u w:val="none"/>
    </w:rPr>
  </w:style>
  <w:style w:type="paragraph" w:styleId="BalloonText">
    <w:name w:val="Balloon Text"/>
    <w:basedOn w:val="Normal"/>
    <w:link w:val="BalloonTextChar"/>
    <w:rsid w:val="00A70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12B"/>
    <w:pPr>
      <w:spacing w:before="0" w:after="0"/>
    </w:pPr>
  </w:style>
  <w:style w:type="paragraph" w:customStyle="1" w:styleId="BodyTextBold">
    <w:name w:val="Body Text Bold"/>
    <w:basedOn w:val="BodyText"/>
    <w:qFormat/>
    <w:rsid w:val="00A7012B"/>
    <w:rPr>
      <w:b/>
    </w:rPr>
  </w:style>
  <w:style w:type="character" w:styleId="Hyperlink">
    <w:name w:val="Hyperlink"/>
    <w:basedOn w:val="DefaultParagraphFont"/>
    <w:uiPriority w:val="99"/>
    <w:unhideWhenUsed/>
    <w:rsid w:val="004E2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3234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CPCCST4004 Initiate the heritage works process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