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58F" w:rsidP="00981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CPCCST4003 Undertake preparations for refractory work</w:t>
      </w:r>
      <w:r>
        <w:fldChar w:fldCharType="end"/>
      </w:r>
    </w:p>
    <w:p w:rsidR="0098158F" w:rsidP="0098158F">
      <w:pPr>
        <w:pStyle w:val="Version"/>
        <w:sectPr w:rsidSect="00D56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6809" w:rsidP="00D56809">
      <w:pPr>
        <w:pStyle w:val="SuperHeading"/>
      </w:pPr>
      <w:r w:rsidRPr="00D56809">
        <w:t>Assessment Requirements for CPCCST4003 Undertake preparations for refractory work</w:t>
      </w:r>
    </w:p>
    <w:p w:rsidR="00000000" w:rsidRPr="00D56809" w:rsidP="00D56809">
      <w:pPr>
        <w:pStyle w:val="Heading1"/>
      </w:pPr>
      <w:bookmarkStart w:id="1" w:name="O_1291237"/>
      <w:bookmarkEnd w:id="1"/>
      <w:r w:rsidRPr="00D568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D56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9">
            <w:pPr>
              <w:pStyle w:val="BodyText"/>
              <w:rPr>
                <w:lang w:val="en-NZ"/>
              </w:rPr>
            </w:pPr>
            <w:r w:rsidRPr="00D5680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9">
            <w:pPr>
              <w:pStyle w:val="BodyText"/>
              <w:rPr>
                <w:lang w:val="en-NZ"/>
              </w:rPr>
            </w:pPr>
            <w:r w:rsidRPr="00D56809">
              <w:t>Updated reference to general construction induction training program.</w:t>
            </w:r>
          </w:p>
        </w:tc>
      </w:tr>
      <w:tr w:rsidTr="00D56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809">
            <w:pPr>
              <w:pStyle w:val="BodyText"/>
              <w:rPr>
                <w:lang w:val="en-NZ"/>
              </w:rPr>
            </w:pPr>
            <w:r w:rsidRPr="00D5680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809" w:rsidP="00D56809">
            <w:pPr>
              <w:pStyle w:val="BodyText"/>
            </w:pPr>
            <w:r w:rsidRPr="00D56809">
              <w:t>This version first released with CPC Construction, Plumbing and Services Training Package Release 5.0.</w:t>
            </w:r>
          </w:p>
          <w:p w:rsidR="00000000" w:rsidRPr="00D56809" w:rsidP="00D56809">
            <w:pPr>
              <w:pStyle w:val="BodyText"/>
            </w:pPr>
            <w:r w:rsidRPr="00D56809">
              <w:t>Supersedes and is equivalent to CPCCBC4041A Undertake preparations for refractory work.  Updated to meet the Standards for Training Packages 2012.</w:t>
            </w:r>
          </w:p>
        </w:tc>
      </w:tr>
    </w:tbl>
    <w:p w:rsidR="00000000" w:rsidRPr="00D56809" w:rsidP="00D56809">
      <w:pPr>
        <w:pStyle w:val="BodyText"/>
      </w:pPr>
    </w:p>
    <w:p w:rsidR="00000000" w:rsidRPr="00D56809" w:rsidP="00D56809">
      <w:pPr>
        <w:pStyle w:val="AllowPageBreak"/>
      </w:pPr>
    </w:p>
    <w:p w:rsidR="00000000" w:rsidRPr="00D56809" w:rsidP="00D56809">
      <w:pPr>
        <w:pStyle w:val="Heading1"/>
      </w:pPr>
      <w:bookmarkStart w:id="2" w:name="O_1291236"/>
      <w:bookmarkEnd w:id="2"/>
      <w:r w:rsidRPr="00D56809">
        <w:t>Performance Evidence</w:t>
      </w:r>
    </w:p>
    <w:p w:rsidR="00000000" w:rsidRPr="00D56809" w:rsidP="0098158F">
      <w:pPr>
        <w:pStyle w:val="BodyText"/>
      </w:pPr>
      <w:r w:rsidRPr="00D56809">
        <w:t xml:space="preserve">To demonstrate competency, a candidate must meet the performance criteria of this unit by preparing for a minimum of one refractory work construction project and one refractory repair project. </w:t>
      </w:r>
    </w:p>
    <w:p w:rsidR="00000000" w:rsidRPr="00D56809" w:rsidP="0098158F">
      <w:pPr>
        <w:pStyle w:val="BodyText"/>
      </w:pPr>
      <w:r w:rsidRPr="00D56809">
        <w:t>In doing this, the candida</w:t>
      </w:r>
      <w:r w:rsidRPr="00D56809">
        <w:t>te must:</w:t>
      </w:r>
    </w:p>
    <w:p w:rsidR="00000000" w:rsidRPr="00D56809" w:rsidP="00D56809">
      <w:pPr>
        <w:pStyle w:val="ListBullet"/>
      </w:pPr>
      <w:r w:rsidRPr="00D56809">
        <w:t>ensure that all refractory materials comply with refractory standards and codes</w:t>
      </w:r>
    </w:p>
    <w:p w:rsidR="00000000" w:rsidRPr="00D56809" w:rsidP="00D56809">
      <w:pPr>
        <w:pStyle w:val="ListBullet"/>
      </w:pPr>
      <w:r w:rsidRPr="00D56809">
        <w:t>ensure evidence of suitability, as stated in the National Construction Code (NCC), is issued by suppliers or manufacturer.</w:t>
      </w:r>
    </w:p>
    <w:p w:rsidR="00000000" w:rsidRPr="00D56809" w:rsidP="00D56809">
      <w:pPr>
        <w:pStyle w:val="AllowPageBreak"/>
      </w:pPr>
    </w:p>
    <w:p w:rsidR="00000000" w:rsidRPr="00D56809" w:rsidP="00D56809">
      <w:pPr>
        <w:pStyle w:val="Heading1"/>
      </w:pPr>
      <w:bookmarkStart w:id="3" w:name="O_1291235"/>
      <w:bookmarkEnd w:id="3"/>
      <w:r w:rsidRPr="00D56809">
        <w:t>Knowledge Evidence</w:t>
      </w:r>
    </w:p>
    <w:p w:rsidR="00000000" w:rsidRPr="00D56809" w:rsidP="0098158F">
      <w:pPr>
        <w:pStyle w:val="BodyText"/>
      </w:pPr>
      <w:r w:rsidRPr="00D56809">
        <w:t>To be competent in this unit, a candidate must demonstrate knowledge of:</w:t>
      </w:r>
    </w:p>
    <w:p w:rsidR="00000000" w:rsidRPr="00D56809" w:rsidP="00D56809">
      <w:pPr>
        <w:pStyle w:val="ListBullet"/>
      </w:pPr>
      <w:r w:rsidRPr="00D56809">
        <w:t>government building and construction legislation relating to refractory work</w:t>
      </w:r>
    </w:p>
    <w:p w:rsidR="00000000" w:rsidRPr="00D56809" w:rsidP="00D56809">
      <w:pPr>
        <w:pStyle w:val="ListBullet"/>
      </w:pPr>
      <w:r w:rsidRPr="00D56809">
        <w:t>building and construction regulation, standards and codes</w:t>
      </w:r>
    </w:p>
    <w:p w:rsidR="00000000" w:rsidRPr="00D56809" w:rsidP="00D56809">
      <w:pPr>
        <w:pStyle w:val="ListBullet"/>
      </w:pPr>
      <w:r w:rsidRPr="00D56809">
        <w:t>relevant sections of National Construction Code</w:t>
      </w:r>
      <w:r w:rsidRPr="00D56809">
        <w:t xml:space="preserve"> (NCC):</w:t>
      </w:r>
    </w:p>
    <w:p w:rsidR="00000000" w:rsidRPr="00D56809" w:rsidP="00D56809">
      <w:pPr>
        <w:pStyle w:val="ListBullet2"/>
      </w:pPr>
      <w:r w:rsidRPr="00D56809">
        <w:t>requirements of evidence of suitability</w:t>
      </w:r>
    </w:p>
    <w:p w:rsidR="00000000" w:rsidRPr="00D56809" w:rsidP="00D56809">
      <w:pPr>
        <w:pStyle w:val="ListBullet2"/>
      </w:pPr>
      <w:r w:rsidRPr="00D56809">
        <w:t>fire resistance</w:t>
      </w:r>
    </w:p>
    <w:p w:rsidR="00000000" w:rsidRPr="00D56809" w:rsidP="00D56809">
      <w:pPr>
        <w:pStyle w:val="ListBullet2"/>
      </w:pPr>
      <w:r w:rsidRPr="00D56809">
        <w:t>fire places, chimneys and flues</w:t>
      </w:r>
    </w:p>
    <w:p w:rsidR="00000000" w:rsidRPr="00D56809" w:rsidP="00D56809">
      <w:pPr>
        <w:pStyle w:val="ListBullet"/>
      </w:pPr>
      <w:r w:rsidRPr="00D56809">
        <w:t>characteristics, applications and limitations of refractory materials:</w:t>
      </w:r>
    </w:p>
    <w:p w:rsidR="00000000" w:rsidRPr="00D56809" w:rsidP="00D56809">
      <w:pPr>
        <w:pStyle w:val="ListBullet2"/>
      </w:pPr>
      <w:r w:rsidRPr="00D56809">
        <w:t>castables</w:t>
      </w:r>
    </w:p>
    <w:p w:rsidR="00000000" w:rsidRPr="00D56809" w:rsidP="00D56809">
      <w:pPr>
        <w:pStyle w:val="ListBullet2"/>
      </w:pPr>
      <w:r w:rsidRPr="00D56809">
        <w:t>different types of insulation materials, including insulation boards and bricks</w:t>
      </w:r>
    </w:p>
    <w:p w:rsidR="00000000" w:rsidRPr="00D56809" w:rsidP="00D56809">
      <w:pPr>
        <w:pStyle w:val="ListBullet2"/>
      </w:pPr>
      <w:r w:rsidRPr="00D56809">
        <w:t>fire bricks</w:t>
      </w:r>
    </w:p>
    <w:p w:rsidR="00000000" w:rsidRPr="00D56809" w:rsidP="00D56809">
      <w:pPr>
        <w:pStyle w:val="ListBullet2"/>
      </w:pPr>
      <w:r w:rsidRPr="00D56809">
        <w:t>fire clay</w:t>
      </w:r>
    </w:p>
    <w:p w:rsidR="00000000" w:rsidRPr="00D56809" w:rsidP="00D56809">
      <w:pPr>
        <w:pStyle w:val="ListBullet2"/>
      </w:pPr>
      <w:r w:rsidRPr="00D56809">
        <w:t>stainless steel joints</w:t>
      </w:r>
    </w:p>
    <w:p w:rsidR="00000000" w:rsidRPr="00D56809" w:rsidP="00D56809">
      <w:pPr>
        <w:pStyle w:val="ListBullet2"/>
      </w:pPr>
      <w:r w:rsidRPr="00D56809">
        <w:t>insulation</w:t>
      </w:r>
    </w:p>
    <w:p w:rsidR="00000000" w:rsidRPr="00D56809" w:rsidP="00D56809">
      <w:pPr>
        <w:pStyle w:val="ListBullet"/>
      </w:pPr>
      <w:r w:rsidRPr="00D56809">
        <w:t xml:space="preserve">processes, techniques and methods of refractory brickwork </w:t>
      </w:r>
    </w:p>
    <w:p w:rsidR="00000000" w:rsidRPr="00D56809" w:rsidP="00D56809">
      <w:pPr>
        <w:pStyle w:val="ListBullet"/>
      </w:pPr>
      <w:r w:rsidRPr="00D56809">
        <w:t>workplace policies and procedures:</w:t>
      </w:r>
    </w:p>
    <w:p w:rsidR="00000000" w:rsidRPr="00D56809" w:rsidP="00D56809">
      <w:pPr>
        <w:pStyle w:val="ListBullet2"/>
      </w:pPr>
      <w:r w:rsidRPr="00D56809">
        <w:t>acquisition of materials</w:t>
      </w:r>
    </w:p>
    <w:p w:rsidR="00000000" w:rsidRPr="00D56809" w:rsidP="00D56809">
      <w:pPr>
        <w:pStyle w:val="ListBullet"/>
      </w:pPr>
      <w:r w:rsidRPr="00D56809">
        <w:t>key features of refractory plans and specifications:</w:t>
      </w:r>
    </w:p>
    <w:p w:rsidR="00000000" w:rsidRPr="00D56809" w:rsidP="00D56809">
      <w:pPr>
        <w:pStyle w:val="ListBullet2"/>
      </w:pPr>
      <w:r w:rsidRPr="00D56809">
        <w:t>signs, symbols and abbreviations</w:t>
      </w:r>
    </w:p>
    <w:p w:rsidR="00000000" w:rsidRPr="00D56809" w:rsidP="00D56809">
      <w:pPr>
        <w:pStyle w:val="ListBullet2"/>
      </w:pPr>
      <w:r w:rsidRPr="00D56809">
        <w:t>dimensions and scales</w:t>
      </w:r>
    </w:p>
    <w:p w:rsidR="00000000" w:rsidRPr="00D56809" w:rsidP="00D56809">
      <w:pPr>
        <w:pStyle w:val="ListBullet2"/>
      </w:pPr>
      <w:r w:rsidRPr="00D56809">
        <w:t>views, sections and details</w:t>
      </w:r>
    </w:p>
    <w:p w:rsidR="00000000" w:rsidRPr="00D56809" w:rsidP="00D56809">
      <w:pPr>
        <w:pStyle w:val="ListBullet"/>
      </w:pPr>
      <w:r w:rsidRPr="00D56809">
        <w:t>allowable tolerances for brickwork stated in standards</w:t>
      </w:r>
    </w:p>
    <w:p w:rsidR="00000000" w:rsidRPr="00D56809" w:rsidP="00D56809">
      <w:pPr>
        <w:pStyle w:val="ListBullet"/>
      </w:pPr>
      <w:r w:rsidRPr="00D56809">
        <w:t>workplace safety:</w:t>
      </w:r>
    </w:p>
    <w:p w:rsidR="00000000" w:rsidRPr="00D56809" w:rsidP="00D56809">
      <w:pPr>
        <w:pStyle w:val="ListBullet2"/>
      </w:pPr>
      <w:r w:rsidRPr="00D56809">
        <w:t>exposure to silica</w:t>
      </w:r>
    </w:p>
    <w:p w:rsidR="00000000" w:rsidRPr="00D56809" w:rsidP="00D56809">
      <w:pPr>
        <w:pStyle w:val="ListBullet2"/>
      </w:pPr>
      <w:r w:rsidRPr="00D56809">
        <w:t>exposure to excessive noise</w:t>
      </w:r>
    </w:p>
    <w:p w:rsidR="00000000" w:rsidRPr="00D56809" w:rsidP="00D56809">
      <w:pPr>
        <w:pStyle w:val="ListBullet2"/>
      </w:pPr>
      <w:r w:rsidRPr="00D56809">
        <w:t>working at height</w:t>
      </w:r>
    </w:p>
    <w:p w:rsidR="00000000" w:rsidRPr="00D56809" w:rsidP="00D56809">
      <w:pPr>
        <w:pStyle w:val="ListBullet2"/>
      </w:pPr>
      <w:r w:rsidRPr="00D56809">
        <w:t>hazardous manual tasks</w:t>
      </w:r>
    </w:p>
    <w:p w:rsidR="00000000" w:rsidRPr="00D56809" w:rsidP="00D56809">
      <w:pPr>
        <w:pStyle w:val="ListBullet2"/>
      </w:pPr>
      <w:r w:rsidRPr="00D56809">
        <w:t>working with hazardous materials</w:t>
      </w:r>
    </w:p>
    <w:p w:rsidR="00000000" w:rsidRPr="00D56809" w:rsidP="00D56809">
      <w:pPr>
        <w:pStyle w:val="ListBullet2"/>
      </w:pPr>
      <w:r w:rsidRPr="00D56809">
        <w:t>working platforms and scaffolding</w:t>
      </w:r>
    </w:p>
    <w:p w:rsidR="00000000" w:rsidRPr="00D56809" w:rsidP="00D56809">
      <w:pPr>
        <w:pStyle w:val="ListBullet"/>
      </w:pPr>
      <w:r w:rsidRPr="00D56809">
        <w:t>functional and operational features of plant, equipment and hand and power tools</w:t>
      </w:r>
    </w:p>
    <w:p w:rsidR="00000000" w:rsidRPr="00D56809" w:rsidP="00D56809">
      <w:pPr>
        <w:pStyle w:val="ListBullet"/>
      </w:pPr>
      <w:r w:rsidRPr="00D56809">
        <w:t>workplace procedures and environmental</w:t>
      </w:r>
      <w:r w:rsidRPr="00D56809">
        <w:t xml:space="preserve"> requirements relating to waste management</w:t>
      </w:r>
    </w:p>
    <w:p w:rsidR="00000000" w:rsidRPr="00D56809" w:rsidP="00D56809">
      <w:pPr>
        <w:pStyle w:val="ListBullet"/>
      </w:pPr>
      <w:r w:rsidRPr="00D56809">
        <w:t>digital devices, applications and software to achieve tasks outcome.</w:t>
      </w:r>
    </w:p>
    <w:p w:rsidR="00000000" w:rsidRPr="00D56809" w:rsidP="00D56809">
      <w:pPr>
        <w:pStyle w:val="AllowPageBreak"/>
      </w:pPr>
    </w:p>
    <w:p w:rsidR="00000000" w:rsidRPr="00D56809" w:rsidP="00D56809">
      <w:pPr>
        <w:pStyle w:val="Heading1"/>
      </w:pPr>
      <w:bookmarkStart w:id="4" w:name="O_1291234"/>
      <w:bookmarkEnd w:id="4"/>
      <w:r w:rsidRPr="00D56809">
        <w:t>Assessment Conditions</w:t>
      </w:r>
    </w:p>
    <w:p w:rsidR="00000000" w:rsidRPr="00D56809" w:rsidP="0098158F">
      <w:pPr>
        <w:pStyle w:val="BodyText"/>
      </w:pPr>
      <w:r w:rsidRPr="00D56809">
        <w:t>Assessors must meet the requirements for assessors contained in the Standards for Registered Training O</w:t>
      </w:r>
      <w:r w:rsidRPr="00D56809">
        <w:t xml:space="preserve">rganisations. </w:t>
      </w:r>
    </w:p>
    <w:p w:rsidR="00000000" w:rsidRPr="00D56809" w:rsidP="0098158F">
      <w:pPr>
        <w:pStyle w:val="BodyText"/>
      </w:pPr>
      <w:r w:rsidRPr="00D56809">
        <w:t xml:space="preserve">Assessment must be undertaken in the workplace or in a simulated workplace environment. </w:t>
      </w:r>
    </w:p>
    <w:p w:rsidR="00000000" w:rsidRPr="00D56809" w:rsidP="0098158F">
      <w:pPr>
        <w:pStyle w:val="BodyText"/>
      </w:pPr>
      <w:r w:rsidRPr="00D56809">
        <w:t>Candidates must be provided with:</w:t>
      </w:r>
    </w:p>
    <w:p w:rsidR="00000000" w:rsidRPr="00D56809" w:rsidP="00D56809">
      <w:pPr>
        <w:pStyle w:val="ListBullet"/>
      </w:pPr>
      <w:r w:rsidRPr="00D56809">
        <w:t>relevant government legislation</w:t>
      </w:r>
    </w:p>
    <w:p w:rsidR="00000000" w:rsidRPr="00D56809" w:rsidP="00D56809">
      <w:pPr>
        <w:pStyle w:val="ListBullet"/>
      </w:pPr>
      <w:r w:rsidRPr="00D56809">
        <w:t>current refractory codes and standards</w:t>
      </w:r>
    </w:p>
    <w:p w:rsidR="00000000" w:rsidRPr="00D56809" w:rsidP="00D56809">
      <w:pPr>
        <w:pStyle w:val="ListBullet"/>
      </w:pPr>
      <w:r w:rsidRPr="00D56809">
        <w:t xml:space="preserve">relevant construction drawings, site plans and specifications </w:t>
      </w:r>
    </w:p>
    <w:p w:rsidR="00000000" w:rsidRPr="00D56809" w:rsidP="00D56809">
      <w:pPr>
        <w:pStyle w:val="ListBullet"/>
      </w:pPr>
      <w:r w:rsidRPr="00D56809">
        <w:t>organisational policies, procedures and other quality documentation to undertake the performance criteria and evidence requirements</w:t>
      </w:r>
    </w:p>
    <w:p w:rsidR="00000000" w:rsidRPr="00D56809" w:rsidP="00D56809">
      <w:pPr>
        <w:pStyle w:val="ListBullet"/>
      </w:pPr>
      <w:r w:rsidRPr="00D56809">
        <w:t xml:space="preserve">digital devices, applications and software to create project </w:t>
      </w:r>
      <w:r w:rsidRPr="00D56809">
        <w:t>schedules and documentation.</w:t>
      </w:r>
    </w:p>
    <w:p w:rsidR="00000000" w:rsidRPr="00D56809" w:rsidP="00D56809">
      <w:pPr>
        <w:pStyle w:val="AllowPageBreak"/>
      </w:pPr>
    </w:p>
    <w:p w:rsidR="00000000" w:rsidRPr="00D56809" w:rsidP="00D56809">
      <w:pPr>
        <w:pStyle w:val="Heading1"/>
      </w:pPr>
      <w:bookmarkStart w:id="5" w:name="O_1291247"/>
      <w:bookmarkEnd w:id="5"/>
      <w:r w:rsidRPr="00D56809">
        <w:t>Links</w:t>
      </w:r>
    </w:p>
    <w:p w:rsidR="00000000" w:rsidRPr="00D56809" w:rsidP="0098158F">
      <w:pPr>
        <w:pStyle w:val="BodyText"/>
      </w:pPr>
      <w:r w:rsidRPr="00D5680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E20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56809" w:rsidP="00D56809"/>
    <w:sectPr w:rsidSect="00D56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9" w:rsidRPr="0098158F" w:rsidP="00981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8F" w:rsidP="00D56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158F" w:rsidP="00D56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158F" w:rsidP="00D56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809" w:rsidRPr="0098158F" w:rsidP="00981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8F" w:rsidRPr="002D2AF8" w:rsidP="00D56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CPCCST4003 Undertake preparations for refractory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8158F" w:rsidP="00D56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1473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A5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C7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809"/>
  </w:style>
  <w:style w:type="character" w:customStyle="1" w:styleId="Heading1Char">
    <w:name w:val="Heading 1 Char"/>
    <w:basedOn w:val="DefaultParagraphFont"/>
    <w:link w:val="Heading1"/>
    <w:rsid w:val="00D56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8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68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6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809"/>
    <w:rPr>
      <w:b/>
      <w:spacing w:val="0"/>
    </w:rPr>
  </w:style>
  <w:style w:type="paragraph" w:customStyle="1" w:styleId="SuperTitle">
    <w:name w:val="SuperTitle"/>
    <w:basedOn w:val="Title"/>
    <w:rsid w:val="00D56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809"/>
    <w:rPr>
      <w:i/>
    </w:rPr>
  </w:style>
  <w:style w:type="paragraph" w:styleId="Caption">
    <w:name w:val="caption"/>
    <w:basedOn w:val="BodyText"/>
    <w:next w:val="Normal"/>
    <w:qFormat/>
    <w:rsid w:val="00D56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809"/>
  </w:style>
  <w:style w:type="paragraph" w:styleId="TableofFigures">
    <w:name w:val="table of figures"/>
    <w:basedOn w:val="Normal"/>
    <w:next w:val="Normal"/>
    <w:semiHidden/>
    <w:rsid w:val="00D56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8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809"/>
    <w:rPr>
      <w:rFonts w:ascii="Wingdings" w:hAnsi="Wingdings"/>
    </w:rPr>
  </w:style>
  <w:style w:type="paragraph" w:customStyle="1" w:styleId="TableHeading">
    <w:name w:val="Table Heading"/>
    <w:basedOn w:val="HeadingBase"/>
    <w:rsid w:val="00D56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809"/>
    <w:rPr>
      <w:color w:val="0033CC"/>
      <w:u w:val="none"/>
    </w:rPr>
  </w:style>
  <w:style w:type="paragraph" w:customStyle="1" w:styleId="BodyTextRight">
    <w:name w:val="Body Text Right"/>
    <w:basedOn w:val="BodyText"/>
    <w:rsid w:val="00D56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8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809"/>
    <w:rPr>
      <w:sz w:val="32"/>
    </w:rPr>
  </w:style>
  <w:style w:type="paragraph" w:customStyle="1" w:styleId="HeadingProcedure">
    <w:name w:val="Heading Procedure"/>
    <w:basedOn w:val="HeadingBase"/>
    <w:next w:val="Normal"/>
    <w:rsid w:val="00D56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809"/>
    <w:pPr>
      <w:spacing w:before="60" w:after="60"/>
    </w:pPr>
  </w:style>
  <w:style w:type="paragraph" w:styleId="ListContinue">
    <w:name w:val="List Continue"/>
    <w:basedOn w:val="List"/>
    <w:rsid w:val="00D56809"/>
    <w:pPr>
      <w:ind w:firstLine="0"/>
    </w:pPr>
  </w:style>
  <w:style w:type="paragraph" w:customStyle="1" w:styleId="ListNote">
    <w:name w:val="List Note"/>
    <w:basedOn w:val="List"/>
    <w:rsid w:val="00D56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809"/>
    <w:rPr>
      <w:rFonts w:ascii="Courier New" w:hAnsi="Courier New"/>
    </w:rPr>
  </w:style>
  <w:style w:type="paragraph" w:customStyle="1" w:styleId="NoteBullet">
    <w:name w:val="Note Bullet"/>
    <w:basedOn w:val="Note"/>
    <w:rsid w:val="00D56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8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809"/>
    <w:rPr>
      <w:b/>
      <w:smallCaps/>
    </w:rPr>
  </w:style>
  <w:style w:type="paragraph" w:customStyle="1" w:styleId="TableListNumber">
    <w:name w:val="Table List Number"/>
    <w:basedOn w:val="ListNumber"/>
    <w:rsid w:val="00D56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809"/>
    <w:pPr>
      <w:numPr>
        <w:numId w:val="9"/>
      </w:numPr>
    </w:pPr>
  </w:style>
  <w:style w:type="paragraph" w:customStyle="1" w:styleId="ListAlpha2">
    <w:name w:val="List Alpha 2"/>
    <w:basedOn w:val="List2"/>
    <w:rsid w:val="00D56809"/>
    <w:pPr>
      <w:numPr>
        <w:numId w:val="8"/>
      </w:numPr>
    </w:pPr>
  </w:style>
  <w:style w:type="paragraph" w:styleId="List2">
    <w:name w:val="List 2"/>
    <w:basedOn w:val="BodyText"/>
    <w:rsid w:val="00D56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8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8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809"/>
    <w:pPr>
      <w:numPr>
        <w:numId w:val="4"/>
      </w:numPr>
    </w:pPr>
  </w:style>
  <w:style w:type="paragraph" w:styleId="ListContinue2">
    <w:name w:val="List Continue 2"/>
    <w:basedOn w:val="List2"/>
    <w:rsid w:val="00D56809"/>
    <w:pPr>
      <w:ind w:firstLine="0"/>
    </w:pPr>
  </w:style>
  <w:style w:type="paragraph" w:styleId="ListContinue3">
    <w:name w:val="List Continue 3"/>
    <w:basedOn w:val="List3"/>
    <w:rsid w:val="00D56809"/>
    <w:pPr>
      <w:ind w:left="1021" w:firstLine="0"/>
    </w:pPr>
  </w:style>
  <w:style w:type="paragraph" w:styleId="ListContinue4">
    <w:name w:val="List Continue 4"/>
    <w:basedOn w:val="List4"/>
    <w:rsid w:val="00D56809"/>
    <w:pPr>
      <w:ind w:firstLine="0"/>
    </w:pPr>
  </w:style>
  <w:style w:type="paragraph" w:styleId="ListContinue5">
    <w:name w:val="List Continue 5"/>
    <w:basedOn w:val="List5"/>
    <w:rsid w:val="00D56809"/>
    <w:pPr>
      <w:ind w:firstLine="0"/>
    </w:pPr>
  </w:style>
  <w:style w:type="paragraph" w:styleId="ListNumber3">
    <w:name w:val="List Number 3"/>
    <w:basedOn w:val="List3"/>
    <w:rsid w:val="00D56809"/>
    <w:pPr>
      <w:numPr>
        <w:numId w:val="5"/>
      </w:numPr>
    </w:pPr>
  </w:style>
  <w:style w:type="paragraph" w:styleId="ListNumber4">
    <w:name w:val="List Number 4"/>
    <w:basedOn w:val="List4"/>
    <w:rsid w:val="00D56809"/>
    <w:pPr>
      <w:numPr>
        <w:numId w:val="6"/>
      </w:numPr>
    </w:pPr>
  </w:style>
  <w:style w:type="paragraph" w:styleId="ListNumber5">
    <w:name w:val="List Number 5"/>
    <w:basedOn w:val="List5"/>
    <w:rsid w:val="00D56809"/>
    <w:pPr>
      <w:numPr>
        <w:numId w:val="7"/>
      </w:numPr>
    </w:pPr>
  </w:style>
  <w:style w:type="paragraph" w:styleId="BlockText">
    <w:name w:val="Block Text"/>
    <w:basedOn w:val="Normal"/>
    <w:rsid w:val="00D56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809"/>
    <w:rPr>
      <w:sz w:val="16"/>
      <w:vertAlign w:val="superscript"/>
    </w:rPr>
  </w:style>
  <w:style w:type="character" w:customStyle="1" w:styleId="Symbols">
    <w:name w:val="Symbols"/>
    <w:basedOn w:val="DefaultParagraphFont"/>
    <w:rsid w:val="00D56809"/>
    <w:rPr>
      <w:rFonts w:ascii="Symbol" w:hAnsi="Symbol"/>
    </w:rPr>
  </w:style>
  <w:style w:type="character" w:customStyle="1" w:styleId="MenuOptions">
    <w:name w:val="Menu Options"/>
    <w:basedOn w:val="DefaultParagraphFont"/>
    <w:rsid w:val="00D56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809"/>
    <w:rPr>
      <w:b/>
    </w:rPr>
  </w:style>
  <w:style w:type="character" w:customStyle="1" w:styleId="Underlined">
    <w:name w:val="Underlined"/>
    <w:basedOn w:val="DefaultParagraphFont"/>
    <w:rsid w:val="00D56809"/>
    <w:rPr>
      <w:u w:val="single"/>
    </w:rPr>
  </w:style>
  <w:style w:type="paragraph" w:customStyle="1" w:styleId="TableBodyTextRight">
    <w:name w:val="Table Body Text Right"/>
    <w:basedOn w:val="TableBodyText"/>
    <w:rsid w:val="00D56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809"/>
    <w:rPr>
      <w:sz w:val="18"/>
    </w:rPr>
  </w:style>
  <w:style w:type="paragraph" w:customStyle="1" w:styleId="BodySmallRight">
    <w:name w:val="Body Small Right"/>
    <w:basedOn w:val="BodyTextRight"/>
    <w:rsid w:val="00D56809"/>
    <w:rPr>
      <w:sz w:val="18"/>
      <w:szCs w:val="18"/>
    </w:rPr>
  </w:style>
  <w:style w:type="paragraph" w:customStyle="1" w:styleId="MarginEdition">
    <w:name w:val="Margin Edition"/>
    <w:basedOn w:val="MarginNote"/>
    <w:rsid w:val="00D56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809"/>
    <w:rPr>
      <w:sz w:val="2"/>
      <w:szCs w:val="2"/>
    </w:rPr>
  </w:style>
  <w:style w:type="character" w:customStyle="1" w:styleId="Small">
    <w:name w:val="Small"/>
    <w:basedOn w:val="DefaultParagraphFont"/>
    <w:rsid w:val="00D56809"/>
    <w:rPr>
      <w:sz w:val="16"/>
    </w:rPr>
  </w:style>
  <w:style w:type="paragraph" w:customStyle="1" w:styleId="WideTable">
    <w:name w:val="Wide Table"/>
    <w:basedOn w:val="Normal"/>
    <w:rsid w:val="00D56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809"/>
  </w:style>
  <w:style w:type="paragraph" w:styleId="Quote">
    <w:name w:val="Quote"/>
    <w:basedOn w:val="Heading1"/>
    <w:link w:val="QuoteChar"/>
    <w:qFormat/>
    <w:rsid w:val="00D56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809"/>
    <w:pPr>
      <w:pageBreakBefore/>
    </w:pPr>
  </w:style>
  <w:style w:type="paragraph" w:customStyle="1" w:styleId="Border">
    <w:name w:val="Border"/>
    <w:basedOn w:val="Normal"/>
    <w:qFormat/>
    <w:rsid w:val="00D56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809"/>
    <w:rPr>
      <w:u w:val="single"/>
    </w:rPr>
  </w:style>
  <w:style w:type="character" w:customStyle="1" w:styleId="BoldandItalics">
    <w:name w:val="Bold and Italics"/>
    <w:qFormat/>
    <w:rsid w:val="00D56809"/>
    <w:rPr>
      <w:b/>
      <w:i/>
      <w:u w:val="none"/>
    </w:rPr>
  </w:style>
  <w:style w:type="paragraph" w:styleId="BalloonText">
    <w:name w:val="Balloon Text"/>
    <w:basedOn w:val="Normal"/>
    <w:link w:val="BalloonTextChar"/>
    <w:rsid w:val="00D56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809"/>
    <w:pPr>
      <w:spacing w:before="0" w:after="0"/>
    </w:pPr>
  </w:style>
  <w:style w:type="paragraph" w:customStyle="1" w:styleId="BodyTextBold">
    <w:name w:val="Body Text Bold"/>
    <w:basedOn w:val="BodyText"/>
    <w:qFormat/>
    <w:rsid w:val="00D56809"/>
    <w:rPr>
      <w:b/>
    </w:rPr>
  </w:style>
  <w:style w:type="character" w:styleId="Hyperlink">
    <w:name w:val="Hyperlink"/>
    <w:basedOn w:val="DefaultParagraphFont"/>
    <w:uiPriority w:val="99"/>
    <w:unhideWhenUsed/>
    <w:rsid w:val="00981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2849</Characters>
  <Application>Microsoft Office Word</Application>
  <DocSecurity>0</DocSecurity>
  <Lines>79</Lines>
  <Paragraphs>69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CPCCST4003 Undertake preparations for refractory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