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7B2" w:rsidP="004067B2">
      <w:pPr>
        <w:pStyle w:val="Title"/>
      </w:pPr>
      <w:r>
        <w:fldChar w:fldCharType="begin"/>
      </w:r>
      <w:r>
        <w:instrText xml:space="preserve"> TITLE   \* MERGEFORMAT </w:instrText>
      </w:r>
      <w:r>
        <w:fldChar w:fldCharType="separate"/>
      </w:r>
      <w:r>
        <w:t>CPCCST3025 Carry out basic stonemasonry demolition</w:t>
      </w:r>
      <w:r>
        <w:fldChar w:fldCharType="end"/>
      </w:r>
    </w:p>
    <w:p w:rsidR="004067B2" w:rsidP="004067B2">
      <w:pPr>
        <w:pStyle w:val="Version"/>
        <w:sectPr w:rsidSect="00641B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1B04" w:rsidP="00641B04">
      <w:pPr>
        <w:pStyle w:val="SuperHeading"/>
      </w:pPr>
      <w:r w:rsidRPr="00641B04">
        <w:t>CPCCST3025 Carry out basic stonemasonry demolition</w:t>
      </w:r>
    </w:p>
    <w:p w:rsidR="00000000" w:rsidRPr="00641B04" w:rsidP="00641B04">
      <w:pPr>
        <w:pStyle w:val="Heading1"/>
      </w:pPr>
      <w:bookmarkStart w:id="1" w:name="O_1296043"/>
      <w:bookmarkEnd w:id="1"/>
      <w:r w:rsidRPr="00641B04">
        <w:t>Modification History</w:t>
      </w:r>
    </w:p>
    <w:tbl>
      <w:tblPr>
        <w:tblW w:w="0" w:type="auto"/>
        <w:tblLayout w:type="fixed"/>
        <w:tblCellMar>
          <w:left w:w="62" w:type="dxa"/>
          <w:right w:w="62" w:type="dxa"/>
        </w:tblCellMar>
        <w:tblLook w:val="0000"/>
      </w:tblPr>
      <w:tblGrid>
        <w:gridCol w:w="1128"/>
        <w:gridCol w:w="7944"/>
      </w:tblGrid>
      <w:tr w:rsidTr="00641B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Release 2</w:t>
            </w:r>
          </w:p>
        </w:tc>
        <w:tc>
          <w:tcPr>
            <w:tcW w:w="794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Updated reference to general construction induction training program.</w:t>
            </w:r>
          </w:p>
        </w:tc>
      </w:tr>
      <w:tr w:rsidTr="00641B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Release 1</w:t>
            </w:r>
          </w:p>
        </w:tc>
        <w:tc>
          <w:tcPr>
            <w:tcW w:w="7944" w:type="dxa"/>
            <w:tcBorders>
              <w:top w:val="nil"/>
              <w:left w:val="nil"/>
              <w:bottom w:val="nil"/>
              <w:right w:val="nil"/>
            </w:tcBorders>
            <w:tcMar>
              <w:top w:w="0" w:type="dxa"/>
              <w:left w:w="62" w:type="dxa"/>
              <w:bottom w:w="0" w:type="dxa"/>
              <w:right w:w="62" w:type="dxa"/>
            </w:tcMar>
          </w:tcPr>
          <w:p w:rsidR="00000000" w:rsidRPr="00641B04" w:rsidP="00641B04">
            <w:pPr>
              <w:pStyle w:val="BodyText"/>
            </w:pPr>
            <w:r w:rsidRPr="00641B04">
              <w:t>This version first released with CPC Construction, Plumbing and Services Training Package Release 5.0.</w:t>
            </w:r>
          </w:p>
          <w:p w:rsidR="00000000" w:rsidRPr="00641B04" w:rsidP="00641B04">
            <w:pPr>
              <w:pStyle w:val="BodyText"/>
            </w:pPr>
            <w:r w:rsidRPr="00641B04">
              <w:t>New unit.</w:t>
            </w:r>
          </w:p>
        </w:tc>
      </w:tr>
    </w:tbl>
    <w:p w:rsidR="00000000" w:rsidRPr="00641B04" w:rsidP="00641B04">
      <w:pPr>
        <w:pStyle w:val="BodyText"/>
      </w:pPr>
    </w:p>
    <w:p w:rsidR="00000000" w:rsidRPr="00641B04" w:rsidP="00641B04">
      <w:pPr>
        <w:pStyle w:val="AllowPageBreak"/>
      </w:pPr>
    </w:p>
    <w:p w:rsidR="00000000" w:rsidRPr="00641B04" w:rsidP="00641B04">
      <w:pPr>
        <w:pStyle w:val="Heading1"/>
      </w:pPr>
      <w:bookmarkStart w:id="2" w:name="O_1296042"/>
      <w:bookmarkEnd w:id="2"/>
      <w:r w:rsidRPr="00641B04">
        <w:t>A</w:t>
      </w:r>
      <w:r w:rsidRPr="00641B04">
        <w:t>pplication</w:t>
      </w:r>
    </w:p>
    <w:p w:rsidR="00000000" w:rsidRPr="00641B04" w:rsidP="004067B2">
      <w:pPr>
        <w:pStyle w:val="BodyText"/>
      </w:pPr>
      <w:r w:rsidRPr="00641B04">
        <w:t>This unit specifies the skills and knowledge required to demolish or dismantle sections of existing stonework in structures for renovations, additions or extensions. It includes removal of stone and components in the monumental and heritage sect</w:t>
      </w:r>
      <w:r w:rsidRPr="00641B04">
        <w:t xml:space="preserve">ors of stonemasonry. </w:t>
      </w:r>
    </w:p>
    <w:p w:rsidR="00000000" w:rsidRPr="00641B04" w:rsidP="004067B2">
      <w:pPr>
        <w:pStyle w:val="BodyText"/>
      </w:pPr>
      <w:r w:rsidRPr="00641B04">
        <w:t>This unit applies to stonemasons who work independently or in a team to carry out basic demolition relating to stonemasonry work.</w:t>
      </w:r>
    </w:p>
    <w:p w:rsidR="00000000" w:rsidRPr="00641B04" w:rsidP="004067B2">
      <w:pPr>
        <w:pStyle w:val="BodyText"/>
      </w:pPr>
      <w:r w:rsidRPr="00641B04">
        <w:t>A person working at this level would be expected to take responsibility for organising and completing ta</w:t>
      </w:r>
      <w:r w:rsidRPr="00641B04">
        <w:t>sks assigned to them without needing close supervision.</w:t>
      </w:r>
    </w:p>
    <w:p w:rsidR="00000000" w:rsidRPr="00641B04" w:rsidP="004067B2">
      <w:pPr>
        <w:pStyle w:val="BodyText"/>
      </w:pPr>
      <w:r w:rsidRPr="00641B04">
        <w:t>Completion of the general construction induction training program specified by the model Code of Practice for Construction Work is required for any person who is to carry out construction work. Achiev</w:t>
      </w:r>
      <w:r w:rsidRPr="00641B04">
        <w:t xml:space="preserve">ement of </w:t>
      </w:r>
      <w:r w:rsidRPr="00641B04">
        <w:rPr>
          <w:rStyle w:val="Emphasis"/>
        </w:rPr>
        <w:t xml:space="preserve">CPCWHS1001 Prepare </w:t>
      </w:r>
      <w:r w:rsidRPr="00641B04">
        <w:t xml:space="preserve">to </w:t>
      </w:r>
      <w:r w:rsidRPr="00641B04">
        <w:rPr>
          <w:rStyle w:val="Emphasis"/>
        </w:rPr>
        <w:t>work safely in the construction industry</w:t>
      </w:r>
      <w:r w:rsidRPr="00641B04">
        <w:t xml:space="preserve"> meets this requirement. </w:t>
      </w:r>
    </w:p>
    <w:p w:rsidR="00000000" w:rsidRPr="00641B04" w:rsidP="004067B2">
      <w:pPr>
        <w:pStyle w:val="BodyText"/>
      </w:pPr>
      <w:r w:rsidRPr="00641B04">
        <w:t>No licensing, legislative or certification requirements apply to this unit at the time of publication.</w:t>
      </w:r>
    </w:p>
    <w:p w:rsidR="00000000" w:rsidRPr="00641B04" w:rsidP="00641B04">
      <w:pPr>
        <w:pStyle w:val="Heading1"/>
      </w:pPr>
      <w:bookmarkStart w:id="3" w:name="O_1296041"/>
      <w:bookmarkEnd w:id="3"/>
      <w:r w:rsidRPr="00641B04">
        <w:t>Pre-requisite Unit</w:t>
      </w:r>
    </w:p>
    <w:p w:rsidR="00000000" w:rsidRPr="00641B04" w:rsidP="004067B2">
      <w:pPr>
        <w:pStyle w:val="BodyText"/>
      </w:pPr>
      <w:r w:rsidRPr="00641B04">
        <w:t xml:space="preserve">CPCCWHS2001 Apply </w:t>
      </w:r>
      <w:r w:rsidRPr="00641B04">
        <w:t>WHS requirements, policies and procedures in the construction industry</w:t>
      </w:r>
    </w:p>
    <w:p w:rsidR="00000000" w:rsidRPr="00641B04" w:rsidP="00641B04">
      <w:pPr>
        <w:pStyle w:val="Heading1"/>
      </w:pPr>
      <w:bookmarkStart w:id="4" w:name="O_1296040"/>
      <w:bookmarkEnd w:id="4"/>
      <w:r w:rsidRPr="00641B04">
        <w:t>Unit Sector</w:t>
      </w:r>
    </w:p>
    <w:p w:rsidR="00000000" w:rsidRPr="00641B04" w:rsidP="004067B2">
      <w:pPr>
        <w:pStyle w:val="BodyText"/>
      </w:pPr>
      <w:r w:rsidRPr="00641B04">
        <w:t>Stonemasonry</w:t>
      </w:r>
    </w:p>
    <w:p w:rsidR="00000000" w:rsidRPr="00641B04" w:rsidP="00641B04">
      <w:pPr>
        <w:pStyle w:val="Heading1"/>
      </w:pPr>
      <w:bookmarkStart w:id="5" w:name="O_1296039"/>
      <w:bookmarkEnd w:id="5"/>
      <w:r w:rsidRPr="00641B0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41B0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Performance criteria describe what needs to be done to demonstrate achievement of the element.</w:t>
            </w:r>
          </w:p>
        </w:tc>
      </w:tr>
      <w:tr w:rsidTr="00641B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w:t>
            </w:r>
          </w:p>
        </w:tc>
        <w:tc>
          <w:tcPr>
            <w:tcW w:w="2357"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Plan the work.</w:t>
            </w: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1.1</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Read, interpret and apply basic stonemasonry demolition requirements from demolition plans, work instructions, standards and codes.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1.2</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 xml:space="preserve">Follow relevant information from workplace procedures and workplace safety and environmental documentation. </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1.3</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Identify construction type and internal and external load bearing structures.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1.4</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Identify connected and disconnected services and confi</w:t>
            </w:r>
            <w:r w:rsidRPr="00641B04">
              <w:t>rm with appropriate person.</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1.5</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Identify potential hazards, including hazardous materials, and determine and implement control measures.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1.6</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Determine job priorities and sequence job tasks in consultation with others on site.</w:t>
            </w:r>
          </w:p>
        </w:tc>
      </w:tr>
      <w:tr w:rsidTr="00641B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1B04">
            <w:pPr>
              <w:pStyle w:val="BodyText"/>
              <w:rPr>
                <w:lang w:val="en-NZ"/>
              </w:rPr>
            </w:pPr>
          </w:p>
        </w:tc>
      </w:tr>
      <w:tr w:rsidTr="00641B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w:t>
            </w:r>
          </w:p>
        </w:tc>
        <w:tc>
          <w:tcPr>
            <w:tcW w:w="2357"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Prepare for work.</w:t>
            </w: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2.1</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Select, fit correctly and use personal protective equipment (PPE) appropriate for job.</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2.2</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Determine method of demolition or dismantling.</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2.3</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Select and check condition of plant, equipment and tools and report damage or faults to relevant person.</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2.4</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Erect exclusion zones and signage.</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2.5</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 xml:space="preserve">Erect and stabilise work platform following workplace procedures and workplace safety. </w:t>
            </w:r>
          </w:p>
        </w:tc>
      </w:tr>
      <w:tr w:rsidTr="00641B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1B04">
            <w:pPr>
              <w:pStyle w:val="BodyText"/>
              <w:rPr>
                <w:lang w:val="en-NZ"/>
              </w:rPr>
            </w:pPr>
          </w:p>
        </w:tc>
      </w:tr>
      <w:tr w:rsidTr="00641B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3</w:t>
            </w:r>
          </w:p>
        </w:tc>
        <w:tc>
          <w:tcPr>
            <w:tcW w:w="2357"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Remove components.</w:t>
            </w: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3.1</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Set out section for demolition or mark components for individual removal following work instructions.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3.2</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 xml:space="preserve">Remove components sequentially and maintain structural stability. </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3.3</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Demolish set out section withou</w:t>
            </w:r>
            <w:r w:rsidRPr="00641B04">
              <w:t>t damage to surrounding components.</w:t>
            </w:r>
          </w:p>
        </w:tc>
      </w:tr>
      <w:tr w:rsidTr="00641B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1B04">
            <w:pPr>
              <w:pStyle w:val="BodyText"/>
              <w:rPr>
                <w:lang w:val="en-NZ"/>
              </w:rPr>
            </w:pPr>
          </w:p>
        </w:tc>
      </w:tr>
      <w:tr w:rsidTr="00641B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4</w:t>
            </w:r>
          </w:p>
        </w:tc>
        <w:tc>
          <w:tcPr>
            <w:tcW w:w="2357" w:type="dxa"/>
            <w:vMerge w:val="restart"/>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Clean up.</w:t>
            </w: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4.1</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Clear the work area, and dispose of, reuse or recycle materials following workplace and environmental requirements.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4.2</w:t>
            </w:r>
          </w:p>
        </w:tc>
        <w:tc>
          <w:tcPr>
            <w:tcW w:w="5659"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Clean tools and equipment, check for serviceability and report damage or faults.</w:t>
            </w:r>
          </w:p>
        </w:tc>
      </w:tr>
      <w:tr w:rsidTr="00641B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4.3</w:t>
            </w:r>
          </w:p>
        </w:tc>
        <w:tc>
          <w:tcPr>
            <w:tcW w:w="5659" w:type="dxa"/>
            <w:tcBorders>
              <w:top w:val="nil"/>
              <w:left w:val="nil"/>
              <w:bottom w:val="nil"/>
              <w:right w:val="nil"/>
            </w:tcBorders>
            <w:tcMar>
              <w:top w:w="0" w:type="dxa"/>
              <w:left w:w="62" w:type="dxa"/>
              <w:bottom w:w="0" w:type="dxa"/>
              <w:right w:w="62" w:type="dxa"/>
            </w:tcMar>
          </w:tcPr>
          <w:p w:rsidR="00000000" w:rsidRPr="00641B04" w:rsidP="00641B04">
            <w:pPr>
              <w:pStyle w:val="BodyText"/>
            </w:pPr>
            <w:r w:rsidRPr="00641B04">
              <w:t>Store and secure tools and equipment following workplace procedures.</w:t>
            </w:r>
          </w:p>
        </w:tc>
      </w:tr>
    </w:tbl>
    <w:p w:rsidR="00000000" w:rsidRPr="00641B04" w:rsidP="00641B04">
      <w:pPr>
        <w:pStyle w:val="BodyText"/>
      </w:pPr>
    </w:p>
    <w:p w:rsidR="00000000" w:rsidRPr="00641B04" w:rsidP="00641B04">
      <w:pPr>
        <w:pStyle w:val="AllowPageBreak"/>
      </w:pPr>
    </w:p>
    <w:p w:rsidR="00000000" w:rsidRPr="00641B04" w:rsidP="00641B04">
      <w:pPr>
        <w:pStyle w:val="Heading1"/>
      </w:pPr>
      <w:bookmarkStart w:id="6" w:name="O_1296038"/>
      <w:bookmarkEnd w:id="6"/>
      <w:r w:rsidRPr="00641B04">
        <w:t>Foundation Skills</w:t>
      </w:r>
    </w:p>
    <w:p w:rsidR="00000000" w:rsidRPr="00641B04" w:rsidP="004067B2">
      <w:pPr>
        <w:pStyle w:val="BodyText"/>
      </w:pPr>
      <w:r w:rsidRPr="00641B04">
        <w:t>Foundation skills essential to performance are explicit in the performance criteria of this unit of competency.</w:t>
      </w:r>
    </w:p>
    <w:p w:rsidR="00000000" w:rsidRPr="00641B04" w:rsidP="00641B04">
      <w:pPr>
        <w:pStyle w:val="Heading1"/>
      </w:pPr>
      <w:bookmarkStart w:id="7" w:name="O_1296037"/>
      <w:bookmarkEnd w:id="7"/>
      <w:r w:rsidRPr="00641B04">
        <w:t>Unit Mapping Information</w:t>
      </w:r>
    </w:p>
    <w:p w:rsidR="00000000" w:rsidRPr="00641B04" w:rsidP="004067B2">
      <w:pPr>
        <w:pStyle w:val="BodyText"/>
      </w:pPr>
      <w:r w:rsidRPr="00641B04">
        <w:t>No equivalent unit</w:t>
      </w:r>
    </w:p>
    <w:p w:rsidR="00000000" w:rsidRPr="00641B04" w:rsidP="00641B04">
      <w:pPr>
        <w:pStyle w:val="Heading1"/>
      </w:pPr>
      <w:bookmarkStart w:id="8" w:name="O_1296044"/>
      <w:bookmarkEnd w:id="8"/>
      <w:r w:rsidRPr="00641B04">
        <w:t>Links</w:t>
      </w:r>
    </w:p>
    <w:p w:rsidR="00000000" w:rsidRPr="00641B04" w:rsidP="004067B2">
      <w:pPr>
        <w:pStyle w:val="BodyText"/>
      </w:pPr>
      <w:r w:rsidRPr="00641B04">
        <w:t>Companion volumes to this training package are available</w:t>
      </w:r>
      <w:r w:rsidRPr="00641B04">
        <w:t xml:space="preserve"> at the VETNet website - </w:t>
      </w:r>
      <w:r>
        <w:fldChar w:fldCharType="begin"/>
      </w:r>
      <w:r>
        <w:instrText xml:space="preserve"> HYPERLINK "https://vetnet.gov.au/Pages/TrainingDocs.aspx?q=7e15fa6a-68b8-4097-b099-030a5569b1ad" </w:instrText>
      </w:r>
      <w:r>
        <w:fldChar w:fldCharType="separate"/>
      </w:r>
      <w:r w:rsidRPr="00E67832">
        <w:rPr>
          <w:rStyle w:val="Hyperlink"/>
        </w:rPr>
        <w:t>https://vetnet.gov.au/Pages/TrainingDocs.aspx?q=7e15fa6a-68b8-4097-b099-030a5569b1ad</w:t>
      </w:r>
      <w:r>
        <w:fldChar w:fldCharType="end"/>
      </w:r>
    </w:p>
    <w:p w:rsidR="00000000" w:rsidRPr="00641B04" w:rsidP="004067B2">
      <w:pPr>
        <w:pStyle w:val="BodyText"/>
        <w:sectPr w:rsidSect="00641B04">
          <w:headerReference w:type="default" r:id="rId10"/>
          <w:footerReference w:type="default" r:id="rId11"/>
          <w:pgSz w:w="11908" w:h="16833"/>
          <w:pgMar w:top="1702" w:right="1418" w:bottom="1702" w:left="1418" w:header="992" w:footer="992" w:gutter="0"/>
          <w:cols w:space="720"/>
          <w:noEndnote/>
          <w:docGrid w:linePitch="299"/>
        </w:sectPr>
      </w:pPr>
    </w:p>
    <w:p w:rsidR="00000000" w:rsidRPr="00641B04" w:rsidP="00641B04">
      <w:pPr>
        <w:pStyle w:val="SuperHeading"/>
      </w:pPr>
      <w:r w:rsidRPr="00641B04">
        <w:t>Assessment Requirements for CPCCST3025 Carry out basic stonemasonry demolition</w:t>
      </w:r>
    </w:p>
    <w:p w:rsidR="00000000" w:rsidRPr="00641B04" w:rsidP="00641B04">
      <w:pPr>
        <w:pStyle w:val="Heading1"/>
      </w:pPr>
      <w:bookmarkStart w:id="9" w:name="O_1296035"/>
      <w:bookmarkEnd w:id="9"/>
      <w:r w:rsidRPr="00641B04">
        <w:t>Mo</w:t>
      </w:r>
      <w:r w:rsidRPr="00641B04">
        <w:t>dification History</w:t>
      </w:r>
    </w:p>
    <w:tbl>
      <w:tblPr>
        <w:tblW w:w="0" w:type="auto"/>
        <w:tblLayout w:type="fixed"/>
        <w:tblCellMar>
          <w:left w:w="62" w:type="dxa"/>
          <w:right w:w="62" w:type="dxa"/>
        </w:tblCellMar>
        <w:tblLook w:val="0000"/>
      </w:tblPr>
      <w:tblGrid>
        <w:gridCol w:w="1128"/>
        <w:gridCol w:w="7944"/>
      </w:tblGrid>
      <w:tr w:rsidTr="00641B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Release 2</w:t>
            </w:r>
          </w:p>
        </w:tc>
        <w:tc>
          <w:tcPr>
            <w:tcW w:w="7944"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Updated reference to general construction induction training program.</w:t>
            </w:r>
          </w:p>
        </w:tc>
      </w:tr>
      <w:tr w:rsidTr="00641B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1B04">
            <w:pPr>
              <w:pStyle w:val="BodyText"/>
              <w:rPr>
                <w:lang w:val="en-NZ"/>
              </w:rPr>
            </w:pPr>
            <w:r w:rsidRPr="00641B04">
              <w:t>Release 1</w:t>
            </w:r>
          </w:p>
        </w:tc>
        <w:tc>
          <w:tcPr>
            <w:tcW w:w="7944" w:type="dxa"/>
            <w:tcBorders>
              <w:top w:val="nil"/>
              <w:left w:val="nil"/>
              <w:bottom w:val="nil"/>
              <w:right w:val="nil"/>
            </w:tcBorders>
            <w:tcMar>
              <w:top w:w="0" w:type="dxa"/>
              <w:left w:w="62" w:type="dxa"/>
              <w:bottom w:w="0" w:type="dxa"/>
              <w:right w:w="62" w:type="dxa"/>
            </w:tcMar>
          </w:tcPr>
          <w:p w:rsidR="00000000" w:rsidRPr="00641B04" w:rsidP="00641B04">
            <w:pPr>
              <w:pStyle w:val="BodyText"/>
            </w:pPr>
            <w:r w:rsidRPr="00641B04">
              <w:t>This version first released with CPC Construction, Plumbing and Services Training Package Release 5.0.</w:t>
            </w:r>
          </w:p>
          <w:p w:rsidR="00000000" w:rsidRPr="00641B04" w:rsidP="00641B04">
            <w:pPr>
              <w:pStyle w:val="BodyText"/>
            </w:pPr>
            <w:r w:rsidRPr="00641B04">
              <w:t>New unit.</w:t>
            </w:r>
          </w:p>
        </w:tc>
      </w:tr>
    </w:tbl>
    <w:p w:rsidR="00000000" w:rsidRPr="00641B04" w:rsidP="00641B04">
      <w:pPr>
        <w:pStyle w:val="BodyText"/>
      </w:pPr>
    </w:p>
    <w:p w:rsidR="00000000" w:rsidRPr="00641B04" w:rsidP="00641B04">
      <w:pPr>
        <w:pStyle w:val="AllowPageBreak"/>
      </w:pPr>
    </w:p>
    <w:p w:rsidR="00000000" w:rsidRPr="00641B04" w:rsidP="00641B04">
      <w:pPr>
        <w:pStyle w:val="Heading1"/>
      </w:pPr>
      <w:bookmarkStart w:id="10" w:name="O_1296034"/>
      <w:bookmarkEnd w:id="10"/>
      <w:r w:rsidRPr="00641B04">
        <w:t>Perform</w:t>
      </w:r>
      <w:r w:rsidRPr="00641B04">
        <w:t>ance Evidence</w:t>
      </w:r>
    </w:p>
    <w:p w:rsidR="00000000" w:rsidRPr="00641B04" w:rsidP="004067B2">
      <w:pPr>
        <w:pStyle w:val="BodyText"/>
      </w:pPr>
      <w:r w:rsidRPr="00641B04">
        <w:t>To demonstrate competency in this unit, a candidate must meet the performance criteria of this unit by demolishing a stone wall with the intent to reuse the wall materials.</w:t>
      </w:r>
    </w:p>
    <w:p w:rsidR="00000000" w:rsidRPr="00641B04" w:rsidP="004067B2">
      <w:pPr>
        <w:pStyle w:val="BodyText"/>
      </w:pPr>
      <w:r w:rsidRPr="00641B04">
        <w:t>In doing this, the candidate must:</w:t>
      </w:r>
    </w:p>
    <w:p w:rsidR="00000000" w:rsidRPr="00641B04" w:rsidP="00641B04">
      <w:pPr>
        <w:pStyle w:val="ListBullet"/>
      </w:pPr>
      <w:r w:rsidRPr="00641B04">
        <w:t>dismantle a stone wall, minimum o</w:t>
      </w:r>
      <w:r w:rsidRPr="00641B04">
        <w:t>f 1.5 m long x 1.0 m high.</w:t>
      </w:r>
    </w:p>
    <w:p w:rsidR="00000000" w:rsidRPr="00641B04" w:rsidP="00641B04">
      <w:pPr>
        <w:pStyle w:val="AllowPageBreak"/>
      </w:pPr>
    </w:p>
    <w:p w:rsidR="00000000" w:rsidRPr="00641B04" w:rsidP="00641B04">
      <w:pPr>
        <w:pStyle w:val="Heading1"/>
      </w:pPr>
      <w:bookmarkStart w:id="11" w:name="O_1296033"/>
      <w:bookmarkEnd w:id="11"/>
      <w:r w:rsidRPr="00641B04">
        <w:t>Knowledge Evidence</w:t>
      </w:r>
    </w:p>
    <w:p w:rsidR="00000000" w:rsidRPr="00641B04" w:rsidP="004067B2">
      <w:pPr>
        <w:pStyle w:val="BodyText"/>
      </w:pPr>
      <w:r w:rsidRPr="00641B04">
        <w:t>To be competent in this unit, a person must demonstrate knowledge of:</w:t>
      </w:r>
    </w:p>
    <w:p w:rsidR="00000000" w:rsidRPr="00641B04" w:rsidP="00641B04">
      <w:pPr>
        <w:pStyle w:val="ListBullet"/>
      </w:pPr>
      <w:r w:rsidRPr="00641B04">
        <w:t>types of natural and manufactured stone used in stone construction</w:t>
      </w:r>
    </w:p>
    <w:p w:rsidR="00000000" w:rsidRPr="00641B04" w:rsidP="00641B04">
      <w:pPr>
        <w:pStyle w:val="ListBullet"/>
      </w:pPr>
      <w:r w:rsidRPr="00641B04">
        <w:t>construction terminology relating to stonemasonry dem</w:t>
      </w:r>
      <w:r w:rsidRPr="00641B04">
        <w:t>olition</w:t>
      </w:r>
    </w:p>
    <w:p w:rsidR="00000000" w:rsidRPr="00641B04" w:rsidP="00641B04">
      <w:pPr>
        <w:pStyle w:val="ListBullet"/>
      </w:pPr>
      <w:r w:rsidRPr="00641B04">
        <w:t>processes and techniques for:</w:t>
      </w:r>
    </w:p>
    <w:p w:rsidR="00000000" w:rsidRPr="00641B04" w:rsidP="00641B04">
      <w:pPr>
        <w:pStyle w:val="ListBullet2"/>
      </w:pPr>
      <w:r w:rsidRPr="00641B04">
        <w:t>dismantling and demolishing load bearing and non-loadbearing stone construction</w:t>
      </w:r>
    </w:p>
    <w:p w:rsidR="00000000" w:rsidRPr="00641B04" w:rsidP="00641B04">
      <w:pPr>
        <w:pStyle w:val="ListBullet2"/>
      </w:pPr>
      <w:r w:rsidRPr="00641B04">
        <w:t>removing fixtures and fittings</w:t>
      </w:r>
    </w:p>
    <w:p w:rsidR="00000000" w:rsidRPr="00641B04" w:rsidP="00641B04">
      <w:pPr>
        <w:pStyle w:val="ListBullet2"/>
      </w:pPr>
      <w:r w:rsidRPr="00641B04">
        <w:t>demolishing a ceiling</w:t>
      </w:r>
    </w:p>
    <w:p w:rsidR="00000000" w:rsidRPr="00641B04" w:rsidP="00641B04">
      <w:pPr>
        <w:pStyle w:val="ListBullet2"/>
      </w:pPr>
      <w:r w:rsidRPr="00641B04">
        <w:t>manual and mechanical demolition</w:t>
      </w:r>
    </w:p>
    <w:p w:rsidR="00000000" w:rsidRPr="00641B04" w:rsidP="00641B04">
      <w:pPr>
        <w:pStyle w:val="ListBullet2"/>
      </w:pPr>
      <w:r w:rsidRPr="00641B04">
        <w:t>dismantling a headstone, socket and kerbing from a monument</w:t>
      </w:r>
    </w:p>
    <w:p w:rsidR="00000000" w:rsidRPr="00641B04" w:rsidP="00641B04">
      <w:pPr>
        <w:pStyle w:val="ListBullet"/>
      </w:pPr>
      <w:r w:rsidRPr="00641B04">
        <w:t>structural integrity and load bearing forces</w:t>
      </w:r>
    </w:p>
    <w:p w:rsidR="00000000" w:rsidRPr="00641B04" w:rsidP="00641B04">
      <w:pPr>
        <w:pStyle w:val="ListBullet"/>
      </w:pPr>
      <w:r w:rsidRPr="00641B04">
        <w:t xml:space="preserve">functional and operational features of plant and equipment, and hand and power tools </w:t>
      </w:r>
    </w:p>
    <w:p w:rsidR="00000000" w:rsidRPr="00641B04" w:rsidP="00641B04">
      <w:pPr>
        <w:pStyle w:val="ListBullet"/>
      </w:pPr>
      <w:r w:rsidRPr="00641B04">
        <w:t>workplace processes and procedures</w:t>
      </w:r>
    </w:p>
    <w:p w:rsidR="00000000" w:rsidRPr="00641B04" w:rsidP="00641B04">
      <w:pPr>
        <w:pStyle w:val="ListBullet"/>
      </w:pPr>
      <w:r w:rsidRPr="00641B04">
        <w:t>environmental and waste manag</w:t>
      </w:r>
      <w:r w:rsidRPr="00641B04">
        <w:t>ement requirements</w:t>
      </w:r>
    </w:p>
    <w:p w:rsidR="00000000" w:rsidRPr="00641B04" w:rsidP="00641B04">
      <w:pPr>
        <w:pStyle w:val="ListBullet"/>
      </w:pPr>
      <w:r w:rsidRPr="00641B04">
        <w:t>workplace safety:</w:t>
      </w:r>
    </w:p>
    <w:p w:rsidR="00000000" w:rsidRPr="00641B04" w:rsidP="00641B04">
      <w:pPr>
        <w:pStyle w:val="ListBullet"/>
      </w:pPr>
      <w:r w:rsidRPr="00641B04">
        <w:t>job safety and environmental analysis (JSEA)</w:t>
      </w:r>
    </w:p>
    <w:p w:rsidR="00000000" w:rsidRPr="00641B04" w:rsidP="00641B04">
      <w:pPr>
        <w:pStyle w:val="ListBullet2"/>
      </w:pPr>
      <w:r w:rsidRPr="00641B04">
        <w:t>exposure to silica</w:t>
      </w:r>
    </w:p>
    <w:p w:rsidR="00000000" w:rsidRPr="00641B04" w:rsidP="00641B04">
      <w:pPr>
        <w:pStyle w:val="ListBullet2"/>
      </w:pPr>
      <w:r w:rsidRPr="00641B04">
        <w:t>hazardous manual tasks</w:t>
      </w:r>
    </w:p>
    <w:p w:rsidR="00000000" w:rsidRPr="00641B04" w:rsidP="00641B04">
      <w:pPr>
        <w:pStyle w:val="ListBullet2"/>
      </w:pPr>
      <w:r w:rsidRPr="00641B04">
        <w:t>working at heights</w:t>
      </w:r>
    </w:p>
    <w:p w:rsidR="00000000" w:rsidRPr="00641B04" w:rsidP="00641B04">
      <w:pPr>
        <w:pStyle w:val="ListBullet2"/>
      </w:pPr>
      <w:r w:rsidRPr="00641B04">
        <w:t xml:space="preserve">dust and dust suppression </w:t>
      </w:r>
    </w:p>
    <w:p w:rsidR="00000000" w:rsidRPr="00641B04" w:rsidP="00641B04">
      <w:pPr>
        <w:pStyle w:val="ListBullet2"/>
      </w:pPr>
      <w:r w:rsidRPr="00641B04">
        <w:t>exclusion zones</w:t>
      </w:r>
    </w:p>
    <w:p w:rsidR="00000000" w:rsidRPr="00641B04" w:rsidP="00641B04">
      <w:pPr>
        <w:pStyle w:val="ListBullet2"/>
      </w:pPr>
      <w:r w:rsidRPr="00641B04">
        <w:t>exposure to loud noise</w:t>
      </w:r>
    </w:p>
    <w:p w:rsidR="00000000" w:rsidRPr="00641B04" w:rsidP="00641B04">
      <w:pPr>
        <w:pStyle w:val="ListBullet"/>
      </w:pPr>
      <w:r w:rsidRPr="00641B04">
        <w:t xml:space="preserve">relevant government demolition regulations </w:t>
      </w:r>
    </w:p>
    <w:p w:rsidR="00000000" w:rsidRPr="00641B04" w:rsidP="00641B04">
      <w:pPr>
        <w:pStyle w:val="ListBullet"/>
      </w:pPr>
      <w:r w:rsidRPr="00641B04">
        <w:t>standards and codes relating to demolition</w:t>
      </w:r>
    </w:p>
    <w:p w:rsidR="00000000" w:rsidRPr="00641B04" w:rsidP="00641B04">
      <w:pPr>
        <w:pStyle w:val="ListBullet"/>
      </w:pPr>
      <w:r w:rsidRPr="00641B04">
        <w:t>features of working drawings and specifications</w:t>
      </w:r>
    </w:p>
    <w:p w:rsidR="00000000" w:rsidRPr="00641B04" w:rsidP="00641B04">
      <w:pPr>
        <w:pStyle w:val="ListBullet"/>
      </w:pPr>
      <w:r w:rsidRPr="00641B04">
        <w:t xml:space="preserve">environmental requirements for workplace processes and waste disposal </w:t>
      </w:r>
    </w:p>
    <w:p w:rsidR="00000000" w:rsidRPr="00641B04" w:rsidP="00641B04">
      <w:pPr>
        <w:pStyle w:val="ListBullet"/>
      </w:pPr>
      <w:r w:rsidRPr="00641B04">
        <w:t>principles and procedures to conserve Australian heritage places according to the Burra Charte</w:t>
      </w:r>
      <w:r w:rsidRPr="00641B04">
        <w:t>r</w:t>
      </w:r>
    </w:p>
    <w:p w:rsidR="00000000" w:rsidRPr="00641B04" w:rsidP="00641B04">
      <w:pPr>
        <w:pStyle w:val="ListBullet"/>
      </w:pPr>
      <w:r w:rsidRPr="00641B04">
        <w:t>digital technology and use of devices to source information and communicate with others</w:t>
      </w:r>
    </w:p>
    <w:p w:rsidR="00000000" w:rsidRPr="00641B04" w:rsidP="00641B04">
      <w:pPr>
        <w:pStyle w:val="ListBullet"/>
      </w:pPr>
      <w:r w:rsidRPr="00641B04">
        <w:t>key requirements of the National Construction Code (NCC) relevant to load bearing structures during demolition.</w:t>
      </w:r>
    </w:p>
    <w:p w:rsidR="00000000" w:rsidRPr="00641B04" w:rsidP="00641B04">
      <w:pPr>
        <w:pStyle w:val="AllowPageBreak"/>
      </w:pPr>
    </w:p>
    <w:p w:rsidR="00000000" w:rsidRPr="00641B04" w:rsidP="00641B04">
      <w:pPr>
        <w:pStyle w:val="Heading1"/>
      </w:pPr>
      <w:bookmarkStart w:id="12" w:name="O_1296032"/>
      <w:bookmarkEnd w:id="12"/>
      <w:r w:rsidRPr="00641B04">
        <w:t>Assessment Conditions</w:t>
      </w:r>
    </w:p>
    <w:p w:rsidR="00000000" w:rsidRPr="00641B04" w:rsidP="004067B2">
      <w:pPr>
        <w:pStyle w:val="BodyText"/>
      </w:pPr>
      <w:r w:rsidRPr="00641B04">
        <w:t>Assessors mus</w:t>
      </w:r>
      <w:r w:rsidRPr="00641B04">
        <w:t xml:space="preserve">t meet the requirements for assessors contained in the Standards for Registered Training Organisations. </w:t>
      </w:r>
    </w:p>
    <w:p w:rsidR="00000000" w:rsidRPr="00641B04" w:rsidP="004067B2">
      <w:pPr>
        <w:pStyle w:val="BodyText"/>
      </w:pPr>
      <w:r w:rsidRPr="00641B04">
        <w:t>This unit must be assessed in the workplace or a close simulation reflecting workplace conditions and standards, materials, equipment, activities, responsibilities, procedures, safety requirements and environmental considerations.</w:t>
      </w:r>
    </w:p>
    <w:p w:rsidR="00000000" w:rsidRPr="00641B04" w:rsidP="00641B04">
      <w:pPr>
        <w:pStyle w:val="Heading1"/>
      </w:pPr>
      <w:bookmarkStart w:id="13" w:name="O_1296045"/>
      <w:bookmarkEnd w:id="13"/>
      <w:r w:rsidRPr="00641B04">
        <w:t>Links</w:t>
      </w:r>
    </w:p>
    <w:p w:rsidR="00000000" w:rsidRPr="00641B04" w:rsidP="004067B2">
      <w:pPr>
        <w:pStyle w:val="BodyText"/>
      </w:pPr>
      <w:r w:rsidRPr="00641B0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67832">
        <w:rPr>
          <w:rStyle w:val="Hyperlink"/>
        </w:rPr>
        <w:t>https://vetnet.gov.au/Pages/TrainingDocs.aspx?q=7e15fa6a-68b8-4097-b099-030a5569b1ad</w:t>
      </w:r>
      <w:r>
        <w:fldChar w:fldCharType="end"/>
      </w:r>
    </w:p>
    <w:p w:rsidR="00000000" w:rsidRPr="00641B04" w:rsidP="00641B04"/>
    <w:sectPr w:rsidSect="00641B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rsidRPr="004067B2" w:rsidP="00406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B2" w:rsidP="00641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7B2" w:rsidP="00641B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67B2" w:rsidP="00641B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rsidP="00641B04">
    <w:pPr>
      <w:pStyle w:val="Footer"/>
      <w:framePr w:wrap="around"/>
    </w:pPr>
    <w:r>
      <w:fldChar w:fldCharType="begin"/>
    </w:r>
    <w:r>
      <w:instrText xml:space="preserve"> DOCPROPERTY  Subject  \* MERGEFORMAT </w:instrText>
    </w:r>
    <w:r>
      <w:fldChar w:fldCharType="separate"/>
    </w:r>
    <w:r w:rsidR="004067B2">
      <w:t>Approved</w:t>
    </w:r>
    <w:r w:rsidR="004067B2">
      <w:fldChar w:fldCharType="end"/>
    </w:r>
    <w:r>
      <w:tab/>
      <w:t xml:space="preserve">Page </w:t>
    </w:r>
    <w:r>
      <w:fldChar w:fldCharType="begin"/>
    </w:r>
    <w:r>
      <w:instrText xml:space="preserve"> PAGE  \* Arabic  \* MERGEFORMAT </w:instrText>
    </w:r>
    <w:r>
      <w:fldChar w:fldCharType="separate"/>
    </w:r>
    <w:r w:rsidR="004067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7B2">
      <w:rPr>
        <w:noProof/>
      </w:rPr>
      <w:t>4</w:t>
    </w:r>
    <w:r>
      <w:rPr>
        <w:noProof/>
      </w:rPr>
      <w:fldChar w:fldCharType="end"/>
    </w:r>
  </w:p>
  <w:p w:rsidR="00641B04" w:rsidP="00641B04">
    <w:pPr>
      <w:pStyle w:val="Footer"/>
      <w:framePr w:wrap="around"/>
    </w:pPr>
    <w:r>
      <w:t xml:space="preserve">© Commonwealth of Australia, </w:t>
    </w:r>
    <w:r>
      <w:fldChar w:fldCharType="begin"/>
    </w:r>
    <w:r>
      <w:instrText xml:space="preserve"> DATE  \@ "yyyy"  \* MERGEFORMAT </w:instrText>
    </w:r>
    <w:r>
      <w:fldChar w:fldCharType="separate"/>
    </w:r>
    <w:r w:rsidR="004067B2">
      <w:rPr>
        <w:noProof/>
      </w:rPr>
      <w:t>2025</w:t>
    </w:r>
    <w:r>
      <w:fldChar w:fldCharType="end"/>
    </w:r>
    <w:r>
      <w:tab/>
    </w:r>
    <w:r>
      <w:fldChar w:fldCharType="begin"/>
    </w:r>
    <w:r>
      <w:instrText xml:space="preserve"> DOCPROPERTY  Author  \* MERGEFORMAT </w:instrText>
    </w:r>
    <w:r>
      <w:fldChar w:fldCharType="separate"/>
    </w:r>
    <w:r w:rsidR="004067B2">
      <w:t>BuildSkills Australia</w:t>
    </w:r>
    <w:r w:rsidR="004067B2">
      <w:fldChar w:fldCharType="end"/>
    </w:r>
  </w:p>
  <w:p w:rsidR="00641B04" w:rsidP="00641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B04" w:rsidRPr="004067B2" w:rsidP="00406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B2" w:rsidRPr="002D2AF8" w:rsidP="00641B04">
    <w:pPr>
      <w:pStyle w:val="Header"/>
      <w:framePr w:wrap="around"/>
    </w:pPr>
    <w:r>
      <w:fldChar w:fldCharType="begin"/>
    </w:r>
    <w:r>
      <w:instrText xml:space="preserve"> TITLE   \* MERGEFORMAT </w:instrText>
    </w:r>
    <w:r>
      <w:fldChar w:fldCharType="separate"/>
    </w:r>
    <w:r>
      <w:t>CPCCST3025 Carry out basic stonemasonry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67B2" w:rsidP="00641B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4" w:rsidRPr="002D2AF8" w:rsidP="00641B04">
    <w:pPr>
      <w:pStyle w:val="Header"/>
      <w:framePr w:wrap="around"/>
    </w:pPr>
    <w:r>
      <w:fldChar w:fldCharType="begin"/>
    </w:r>
    <w:r>
      <w:instrText xml:space="preserve"> TITLE   \* MERGEFORMAT </w:instrText>
    </w:r>
    <w:r>
      <w:fldChar w:fldCharType="separate"/>
    </w:r>
    <w:r w:rsidR="004067B2">
      <w:t>CPCCST3025 Carry out basic stonemasonry demolition</w:t>
    </w:r>
    <w:r w:rsidR="004067B2">
      <w:fldChar w:fldCharType="end"/>
    </w:r>
    <w:r>
      <w:tab/>
      <w:t xml:space="preserve">Date this document was generated: </w:t>
    </w:r>
    <w:r>
      <w:fldChar w:fldCharType="begin"/>
    </w:r>
    <w:r>
      <w:instrText xml:space="preserve"> CREATEDATE  \@ "d MMMM yyyy"  \* MERGEFORMAT </w:instrText>
    </w:r>
    <w:r>
      <w:fldChar w:fldCharType="separate"/>
    </w:r>
    <w:r w:rsidR="004067B2">
      <w:rPr>
        <w:noProof/>
      </w:rPr>
      <w:t>2 March 2025</w:t>
    </w:r>
    <w:r>
      <w:fldChar w:fldCharType="end"/>
    </w:r>
  </w:p>
  <w:p w:rsidR="00641B04" w:rsidP="00641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44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4C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C66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B04"/>
    <w:pPr>
      <w:spacing w:before="360" w:after="60"/>
      <w:outlineLvl w:val="0"/>
    </w:pPr>
    <w:rPr>
      <w:sz w:val="32"/>
    </w:rPr>
  </w:style>
  <w:style w:type="paragraph" w:styleId="Heading2">
    <w:name w:val="heading 2"/>
    <w:basedOn w:val="HeadingBase"/>
    <w:next w:val="BodyText"/>
    <w:link w:val="Heading2Char"/>
    <w:qFormat/>
    <w:rsid w:val="00641B04"/>
    <w:pPr>
      <w:keepLines/>
      <w:spacing w:before="240" w:after="120"/>
      <w:outlineLvl w:val="1"/>
    </w:pPr>
    <w:rPr>
      <w:sz w:val="28"/>
      <w:szCs w:val="40"/>
    </w:rPr>
  </w:style>
  <w:style w:type="paragraph" w:styleId="Heading3">
    <w:name w:val="heading 3"/>
    <w:basedOn w:val="HeadingBase"/>
    <w:next w:val="BodyText"/>
    <w:link w:val="Heading3Char"/>
    <w:qFormat/>
    <w:rsid w:val="00641B04"/>
    <w:pPr>
      <w:spacing w:before="180" w:after="120"/>
      <w:outlineLvl w:val="2"/>
    </w:pPr>
    <w:rPr>
      <w:spacing w:val="-10"/>
      <w:kern w:val="32"/>
    </w:rPr>
  </w:style>
  <w:style w:type="paragraph" w:styleId="Heading4">
    <w:name w:val="heading 4"/>
    <w:basedOn w:val="HeadingBase"/>
    <w:next w:val="BodyText"/>
    <w:link w:val="Heading4Char"/>
    <w:qFormat/>
    <w:rsid w:val="00641B04"/>
    <w:pPr>
      <w:spacing w:before="160" w:after="120"/>
      <w:outlineLvl w:val="3"/>
    </w:pPr>
    <w:rPr>
      <w:sz w:val="22"/>
    </w:rPr>
  </w:style>
  <w:style w:type="paragraph" w:styleId="Heading5">
    <w:name w:val="heading 5"/>
    <w:basedOn w:val="HeadingBase"/>
    <w:next w:val="Normal"/>
    <w:link w:val="Heading5Char"/>
    <w:qFormat/>
    <w:rsid w:val="00641B04"/>
    <w:pPr>
      <w:spacing w:before="80"/>
      <w:outlineLvl w:val="4"/>
    </w:pPr>
    <w:rPr>
      <w:color w:val="918585"/>
      <w:sz w:val="20"/>
    </w:rPr>
  </w:style>
  <w:style w:type="paragraph" w:styleId="Heading6">
    <w:name w:val="heading 6"/>
    <w:basedOn w:val="HeadingBase"/>
    <w:next w:val="Normal"/>
    <w:link w:val="Heading6Char"/>
    <w:qFormat/>
    <w:rsid w:val="00641B04"/>
    <w:pPr>
      <w:spacing w:before="60"/>
      <w:outlineLvl w:val="5"/>
    </w:pPr>
    <w:rPr>
      <w:color w:val="918585"/>
      <w:sz w:val="20"/>
    </w:rPr>
  </w:style>
  <w:style w:type="paragraph" w:styleId="Heading7">
    <w:name w:val="heading 7"/>
    <w:basedOn w:val="Normal"/>
    <w:next w:val="Normal"/>
    <w:link w:val="Heading7Char"/>
    <w:qFormat/>
    <w:rsid w:val="00641B04"/>
    <w:pPr>
      <w:ind w:left="720"/>
      <w:outlineLvl w:val="6"/>
    </w:pPr>
    <w:rPr>
      <w:i/>
    </w:rPr>
  </w:style>
  <w:style w:type="paragraph" w:styleId="Heading8">
    <w:name w:val="heading 8"/>
    <w:basedOn w:val="Normal"/>
    <w:next w:val="Normal"/>
    <w:link w:val="Heading8Char"/>
    <w:qFormat/>
    <w:rsid w:val="00641B04"/>
    <w:pPr>
      <w:ind w:left="720"/>
      <w:outlineLvl w:val="7"/>
    </w:pPr>
    <w:rPr>
      <w:i/>
    </w:rPr>
  </w:style>
  <w:style w:type="paragraph" w:styleId="Heading9">
    <w:name w:val="heading 9"/>
    <w:basedOn w:val="Normal"/>
    <w:next w:val="Normal"/>
    <w:link w:val="Heading9Char"/>
    <w:qFormat/>
    <w:rsid w:val="00641B04"/>
    <w:pPr>
      <w:ind w:left="720"/>
      <w:outlineLvl w:val="8"/>
    </w:pPr>
    <w:rPr>
      <w:i/>
    </w:rPr>
  </w:style>
  <w:style w:type="character" w:default="1" w:styleId="DefaultParagraphFont">
    <w:name w:val="Default Paragraph Font"/>
    <w:uiPriority w:val="1"/>
    <w:unhideWhenUsed/>
    <w:rsid w:val="00641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B04"/>
  </w:style>
  <w:style w:type="character" w:customStyle="1" w:styleId="Heading1Char">
    <w:name w:val="Heading 1 Char"/>
    <w:basedOn w:val="DefaultParagraphFont"/>
    <w:link w:val="Heading1"/>
    <w:rsid w:val="00641B04"/>
    <w:rPr>
      <w:rFonts w:ascii="Times New Roman" w:eastAsia="Times New Roman" w:hAnsi="Times New Roman" w:cs="Times New Roman"/>
      <w:b/>
      <w:sz w:val="32"/>
      <w:szCs w:val="20"/>
      <w:lang w:eastAsia="en-US"/>
    </w:rPr>
  </w:style>
  <w:style w:type="paragraph" w:styleId="BodyText">
    <w:name w:val="Body Text"/>
    <w:basedOn w:val="Normal"/>
    <w:link w:val="BodyTextChar"/>
    <w:rsid w:val="00641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B04"/>
    <w:rPr>
      <w:rFonts w:ascii="Times New Roman" w:eastAsia="Times New Roman" w:hAnsi="Times New Roman" w:cs="Times New Roman"/>
      <w:sz w:val="24"/>
      <w:lang w:eastAsia="en-US"/>
    </w:rPr>
  </w:style>
  <w:style w:type="paragraph" w:styleId="ListBullet">
    <w:name w:val="List Bullet"/>
    <w:basedOn w:val="List"/>
    <w:rsid w:val="00641B04"/>
    <w:pPr>
      <w:numPr>
        <w:numId w:val="12"/>
      </w:numPr>
      <w:tabs>
        <w:tab w:val="clear" w:pos="340"/>
      </w:tabs>
      <w:spacing w:before="40" w:after="40"/>
    </w:pPr>
  </w:style>
  <w:style w:type="paragraph" w:styleId="ListBullet2">
    <w:name w:val="List Bullet 2"/>
    <w:basedOn w:val="List2"/>
    <w:rsid w:val="00641B04"/>
    <w:pPr>
      <w:numPr>
        <w:numId w:val="13"/>
      </w:numPr>
      <w:tabs>
        <w:tab w:val="clear" w:pos="680"/>
      </w:tabs>
    </w:pPr>
  </w:style>
  <w:style w:type="character" w:styleId="Emphasis">
    <w:name w:val="Emphasis"/>
    <w:basedOn w:val="DefaultParagraphFont"/>
    <w:qFormat/>
    <w:rsid w:val="00641B04"/>
    <w:rPr>
      <w:i/>
    </w:rPr>
  </w:style>
  <w:style w:type="paragraph" w:customStyle="1" w:styleId="SuperHeading">
    <w:name w:val="SuperHeading"/>
    <w:basedOn w:val="Normal"/>
    <w:rsid w:val="00641B04"/>
    <w:pPr>
      <w:spacing w:before="240" w:after="120"/>
      <w:outlineLvl w:val="0"/>
    </w:pPr>
    <w:rPr>
      <w:rFonts w:ascii="Times New Roman" w:hAnsi="Times New Roman"/>
      <w:b/>
      <w:sz w:val="32"/>
    </w:rPr>
  </w:style>
  <w:style w:type="paragraph" w:customStyle="1" w:styleId="AllowPageBreak">
    <w:name w:val="AllowPageBreak"/>
    <w:rsid w:val="00641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B04"/>
    <w:rPr>
      <w:rFonts w:ascii="Courier New" w:eastAsia="Times New Roman" w:hAnsi="Courier New" w:cs="Times New Roman"/>
      <w:i/>
      <w:szCs w:val="20"/>
      <w:lang w:eastAsia="en-US"/>
    </w:rPr>
  </w:style>
  <w:style w:type="paragraph" w:customStyle="1" w:styleId="HeadingBase">
    <w:name w:val="Heading Base"/>
    <w:rsid w:val="00641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B04"/>
    <w:pPr>
      <w:tabs>
        <w:tab w:val="right" w:leader="dot" w:pos="9072"/>
      </w:tabs>
      <w:ind w:left="567"/>
    </w:pPr>
    <w:rPr>
      <w:szCs w:val="22"/>
    </w:rPr>
  </w:style>
  <w:style w:type="paragraph" w:customStyle="1" w:styleId="TOCBase">
    <w:name w:val="TOC Base"/>
    <w:rsid w:val="00641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B04"/>
    <w:pPr>
      <w:tabs>
        <w:tab w:val="right" w:leader="dot" w:pos="9072"/>
      </w:tabs>
      <w:spacing w:before="40" w:after="40"/>
      <w:ind w:left="284"/>
    </w:pPr>
    <w:rPr>
      <w:rFonts w:ascii="Times New Roman" w:hAnsi="Times New Roman"/>
    </w:rPr>
  </w:style>
  <w:style w:type="paragraph" w:styleId="TOC1">
    <w:name w:val="toc 1"/>
    <w:basedOn w:val="TOCBase"/>
    <w:next w:val="Normal"/>
    <w:rsid w:val="00641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B04"/>
    <w:rPr>
      <w:rFonts w:ascii="Times New Roman" w:eastAsia="Times New Roman" w:hAnsi="Times New Roman" w:cs="Times New Roman"/>
      <w:sz w:val="16"/>
      <w:lang w:eastAsia="en-US"/>
    </w:rPr>
  </w:style>
  <w:style w:type="paragraph" w:styleId="Title">
    <w:name w:val="Title"/>
    <w:basedOn w:val="HeadingBase"/>
    <w:link w:val="TitleChar"/>
    <w:qFormat/>
    <w:rsid w:val="00641B04"/>
    <w:pPr>
      <w:spacing w:before="5040"/>
      <w:jc w:val="center"/>
    </w:pPr>
    <w:rPr>
      <w:sz w:val="48"/>
      <w:szCs w:val="72"/>
      <w:lang w:val="en-US"/>
    </w:rPr>
  </w:style>
  <w:style w:type="character" w:customStyle="1" w:styleId="TitleChar">
    <w:name w:val="Title Char"/>
    <w:basedOn w:val="DefaultParagraphFont"/>
    <w:link w:val="Title"/>
    <w:rsid w:val="00641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B04"/>
    <w:pPr>
      <w:tabs>
        <w:tab w:val="left" w:pos="3600"/>
        <w:tab w:val="left" w:pos="3958"/>
      </w:tabs>
    </w:pPr>
  </w:style>
  <w:style w:type="paragraph" w:styleId="List">
    <w:name w:val="List"/>
    <w:basedOn w:val="BodyText"/>
    <w:next w:val="BodyText"/>
    <w:rsid w:val="00641B04"/>
    <w:pPr>
      <w:tabs>
        <w:tab w:val="left" w:pos="340"/>
      </w:tabs>
      <w:spacing w:before="60" w:after="60"/>
      <w:ind w:left="340" w:hanging="340"/>
    </w:pPr>
  </w:style>
  <w:style w:type="paragraph" w:customStyle="1" w:styleId="Note">
    <w:name w:val="Note"/>
    <w:basedOn w:val="BodyText"/>
    <w:rsid w:val="00641B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1B04"/>
    <w:rPr>
      <w:b/>
      <w:spacing w:val="0"/>
    </w:rPr>
  </w:style>
  <w:style w:type="paragraph" w:customStyle="1" w:styleId="SuperTitle">
    <w:name w:val="SuperTitle"/>
    <w:basedOn w:val="Title"/>
    <w:rsid w:val="00641B04"/>
    <w:pPr>
      <w:framePr w:wrap="auto" w:hAnchor="text" w:y="6049"/>
    </w:pPr>
    <w:rPr>
      <w:color w:val="000000"/>
      <w:sz w:val="40"/>
    </w:rPr>
  </w:style>
  <w:style w:type="paragraph" w:customStyle="1" w:styleId="TOCTitle">
    <w:name w:val="TOCTitle"/>
    <w:basedOn w:val="Heading1"/>
    <w:rsid w:val="00641B04"/>
    <w:pPr>
      <w:spacing w:after="240"/>
      <w:jc w:val="center"/>
      <w:outlineLvl w:val="9"/>
    </w:pPr>
    <w:rPr>
      <w:caps/>
    </w:rPr>
  </w:style>
  <w:style w:type="paragraph" w:customStyle="1" w:styleId="Version">
    <w:name w:val="Version"/>
    <w:rsid w:val="00641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B04"/>
    <w:pPr>
      <w:keepNext w:val="0"/>
      <w:tabs>
        <w:tab w:val="right" w:pos="4176"/>
      </w:tabs>
      <w:ind w:left="198" w:hanging="198"/>
    </w:pPr>
    <w:rPr>
      <w:rFonts w:ascii="Garamond" w:hAnsi="Garamond"/>
    </w:rPr>
  </w:style>
  <w:style w:type="paragraph" w:styleId="IndexHeading">
    <w:name w:val="index heading"/>
    <w:basedOn w:val="Normal"/>
    <w:next w:val="Index1"/>
    <w:semiHidden/>
    <w:rsid w:val="00641B04"/>
    <w:pPr>
      <w:spacing w:before="120" w:after="120"/>
    </w:pPr>
    <w:rPr>
      <w:rFonts w:ascii="Arial" w:hAnsi="Arial"/>
      <w:b/>
      <w:color w:val="918585"/>
      <w:sz w:val="24"/>
    </w:rPr>
  </w:style>
  <w:style w:type="paragraph" w:styleId="Header">
    <w:name w:val="header"/>
    <w:basedOn w:val="Normal"/>
    <w:link w:val="HeaderChar"/>
    <w:rsid w:val="00641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B04"/>
    <w:rPr>
      <w:rFonts w:ascii="Times New Roman" w:eastAsia="Times New Roman" w:hAnsi="Times New Roman" w:cs="Times New Roman"/>
      <w:sz w:val="16"/>
      <w:szCs w:val="20"/>
      <w:lang w:val="en-GB" w:eastAsia="en-US"/>
    </w:rPr>
  </w:style>
  <w:style w:type="paragraph" w:customStyle="1" w:styleId="Chapter">
    <w:name w:val="Chapter"/>
    <w:basedOn w:val="Normal"/>
    <w:rsid w:val="00641B04"/>
    <w:pPr>
      <w:spacing w:before="240"/>
    </w:pPr>
    <w:rPr>
      <w:rFonts w:ascii="Times New Roman" w:hAnsi="Times New Roman"/>
      <w:smallCaps/>
      <w:spacing w:val="80"/>
      <w:sz w:val="28"/>
    </w:rPr>
  </w:style>
  <w:style w:type="paragraph" w:customStyle="1" w:styleId="InChapter">
    <w:name w:val="InChapter"/>
    <w:basedOn w:val="Heading3"/>
    <w:rsid w:val="00641B04"/>
    <w:pPr>
      <w:spacing w:after="240"/>
      <w:outlineLvl w:val="9"/>
    </w:pPr>
    <w:rPr>
      <w:noProof/>
    </w:rPr>
  </w:style>
  <w:style w:type="paragraph" w:styleId="Index2">
    <w:name w:val="index 2"/>
    <w:basedOn w:val="Normal"/>
    <w:next w:val="Normal"/>
    <w:semiHidden/>
    <w:rsid w:val="00641B04"/>
    <w:pPr>
      <w:tabs>
        <w:tab w:val="right" w:pos="4176"/>
      </w:tabs>
      <w:ind w:left="568" w:hanging="284"/>
    </w:pPr>
    <w:rPr>
      <w:rFonts w:ascii="Garamond" w:hAnsi="Garamond"/>
    </w:rPr>
  </w:style>
  <w:style w:type="paragraph" w:customStyle="1" w:styleId="Byline">
    <w:name w:val="Byline"/>
    <w:rsid w:val="00641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B04"/>
    <w:pPr>
      <w:tabs>
        <w:tab w:val="clear" w:pos="3600"/>
        <w:tab w:val="clear" w:pos="3958"/>
      </w:tabs>
      <w:jc w:val="right"/>
    </w:pPr>
  </w:style>
  <w:style w:type="paragraph" w:styleId="Caption">
    <w:name w:val="caption"/>
    <w:basedOn w:val="BodyText"/>
    <w:next w:val="Normal"/>
    <w:qFormat/>
    <w:rsid w:val="00641B04"/>
    <w:pPr>
      <w:framePr w:w="2268" w:hSpace="181" w:vSpace="181" w:wrap="around" w:vAnchor="text" w:hAnchor="page" w:x="1135" w:y="285" w:anchorLock="1"/>
    </w:pPr>
    <w:rPr>
      <w:i/>
    </w:rPr>
  </w:style>
  <w:style w:type="paragraph" w:customStyle="1" w:styleId="MiniTOCTitle">
    <w:name w:val="MiniTOCTitle"/>
    <w:basedOn w:val="Heading4"/>
    <w:rsid w:val="00641B04"/>
    <w:pPr>
      <w:spacing w:before="240"/>
      <w:outlineLvl w:val="9"/>
    </w:pPr>
    <w:rPr>
      <w:noProof/>
      <w:sz w:val="24"/>
    </w:rPr>
  </w:style>
  <w:style w:type="paragraph" w:customStyle="1" w:styleId="MiniTOCItem">
    <w:name w:val="MiniTOCItem"/>
    <w:basedOn w:val="ListBullet"/>
    <w:rsid w:val="00641B04"/>
    <w:pPr>
      <w:numPr>
        <w:numId w:val="0"/>
      </w:numPr>
      <w:tabs>
        <w:tab w:val="right" w:leader="dot" w:pos="6521"/>
      </w:tabs>
      <w:spacing w:before="0" w:after="0"/>
    </w:pPr>
  </w:style>
  <w:style w:type="paragraph" w:customStyle="1" w:styleId="TOFTitle">
    <w:name w:val="TOFTitle"/>
    <w:basedOn w:val="TOCTitle"/>
    <w:rsid w:val="00641B04"/>
  </w:style>
  <w:style w:type="paragraph" w:styleId="TableofFigures">
    <w:name w:val="table of figures"/>
    <w:basedOn w:val="Normal"/>
    <w:next w:val="Normal"/>
    <w:semiHidden/>
    <w:rsid w:val="00641B04"/>
    <w:pPr>
      <w:tabs>
        <w:tab w:val="right" w:leader="dot" w:pos="9072"/>
      </w:tabs>
      <w:ind w:left="970" w:hanging="403"/>
    </w:pPr>
    <w:rPr>
      <w:rFonts w:ascii="Times New Roman" w:hAnsi="Times New Roman"/>
      <w:b/>
    </w:rPr>
  </w:style>
  <w:style w:type="paragraph" w:styleId="ListNumber">
    <w:name w:val="List Number"/>
    <w:basedOn w:val="List"/>
    <w:rsid w:val="00641B04"/>
    <w:pPr>
      <w:numPr>
        <w:numId w:val="15"/>
      </w:numPr>
      <w:tabs>
        <w:tab w:val="clear" w:pos="340"/>
      </w:tabs>
    </w:pPr>
  </w:style>
  <w:style w:type="character" w:customStyle="1" w:styleId="WingdingSymbols">
    <w:name w:val="Wingding Symbols"/>
    <w:rsid w:val="00641B04"/>
    <w:rPr>
      <w:rFonts w:ascii="Wingdings" w:hAnsi="Wingdings"/>
    </w:rPr>
  </w:style>
  <w:style w:type="paragraph" w:customStyle="1" w:styleId="TableHeading">
    <w:name w:val="Table Heading"/>
    <w:basedOn w:val="HeadingBase"/>
    <w:rsid w:val="00641B04"/>
    <w:pPr>
      <w:keepLines/>
      <w:pBdr>
        <w:bottom w:val="single" w:sz="6" w:space="1" w:color="918585"/>
      </w:pBdr>
      <w:spacing w:before="240"/>
    </w:pPr>
  </w:style>
  <w:style w:type="character" w:customStyle="1" w:styleId="HotSpot">
    <w:name w:val="HotSpot"/>
    <w:rsid w:val="00641B04"/>
    <w:rPr>
      <w:color w:val="0033CC"/>
      <w:u w:val="none"/>
    </w:rPr>
  </w:style>
  <w:style w:type="paragraph" w:customStyle="1" w:styleId="BodyTextRight">
    <w:name w:val="Body Text Right"/>
    <w:basedOn w:val="BodyText"/>
    <w:rsid w:val="00641B04"/>
    <w:pPr>
      <w:spacing w:before="0" w:after="0"/>
      <w:jc w:val="right"/>
    </w:pPr>
  </w:style>
  <w:style w:type="paragraph" w:styleId="Index3">
    <w:name w:val="index 3"/>
    <w:basedOn w:val="ListNumber2"/>
    <w:next w:val="Normal"/>
    <w:semiHidden/>
    <w:rsid w:val="00641B04"/>
    <w:pPr>
      <w:numPr>
        <w:numId w:val="0"/>
      </w:numPr>
      <w:tabs>
        <w:tab w:val="right" w:leader="dot" w:pos="4176"/>
      </w:tabs>
    </w:pPr>
  </w:style>
  <w:style w:type="paragraph" w:styleId="ListNumber2">
    <w:name w:val="List Number 2"/>
    <w:basedOn w:val="List2"/>
    <w:rsid w:val="00641B04"/>
    <w:pPr>
      <w:numPr>
        <w:numId w:val="10"/>
      </w:numPr>
      <w:tabs>
        <w:tab w:val="clear" w:pos="1060"/>
      </w:tabs>
    </w:pPr>
  </w:style>
  <w:style w:type="paragraph" w:customStyle="1" w:styleId="MarginNote">
    <w:name w:val="Margin Note"/>
    <w:basedOn w:val="BodyText"/>
    <w:rsid w:val="00641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B04"/>
    <w:rPr>
      <w:sz w:val="32"/>
    </w:rPr>
  </w:style>
  <w:style w:type="paragraph" w:customStyle="1" w:styleId="HeadingProcedure">
    <w:name w:val="Heading Procedure"/>
    <w:basedOn w:val="HeadingBase"/>
    <w:next w:val="Normal"/>
    <w:rsid w:val="00641B04"/>
    <w:pPr>
      <w:tabs>
        <w:tab w:val="left" w:pos="0"/>
      </w:tabs>
      <w:spacing w:before="120" w:after="60"/>
    </w:pPr>
    <w:rPr>
      <w:i/>
      <w:color w:val="918585"/>
      <w:sz w:val="22"/>
    </w:rPr>
  </w:style>
  <w:style w:type="paragraph" w:customStyle="1" w:styleId="TableBodyText">
    <w:name w:val="Table Body Text"/>
    <w:basedOn w:val="BodyText"/>
    <w:rsid w:val="00641B04"/>
    <w:pPr>
      <w:spacing w:before="60" w:after="60"/>
    </w:pPr>
  </w:style>
  <w:style w:type="paragraph" w:styleId="ListContinue">
    <w:name w:val="List Continue"/>
    <w:basedOn w:val="List"/>
    <w:rsid w:val="00641B04"/>
    <w:pPr>
      <w:ind w:firstLine="0"/>
    </w:pPr>
  </w:style>
  <w:style w:type="paragraph" w:customStyle="1" w:styleId="ListNote">
    <w:name w:val="List Note"/>
    <w:basedOn w:val="List"/>
    <w:rsid w:val="00641B04"/>
    <w:pPr>
      <w:pBdr>
        <w:top w:val="single" w:sz="6" w:space="2" w:color="918585"/>
        <w:bottom w:val="single" w:sz="6" w:space="2" w:color="918585"/>
      </w:pBdr>
      <w:tabs>
        <w:tab w:val="left" w:pos="1021"/>
      </w:tabs>
      <w:ind w:firstLine="0"/>
    </w:pPr>
  </w:style>
  <w:style w:type="paragraph" w:customStyle="1" w:styleId="Warning">
    <w:name w:val="Warning"/>
    <w:basedOn w:val="BodyText"/>
    <w:rsid w:val="00641B04"/>
    <w:pPr>
      <w:shd w:val="clear" w:color="auto" w:fill="D9D9D9"/>
      <w:tabs>
        <w:tab w:val="left" w:pos="992"/>
      </w:tabs>
      <w:ind w:left="119" w:right="119"/>
    </w:pPr>
    <w:rPr>
      <w:sz w:val="20"/>
    </w:rPr>
  </w:style>
  <w:style w:type="paragraph" w:customStyle="1" w:styleId="MarginIcons">
    <w:name w:val="Margin Icons"/>
    <w:basedOn w:val="BodyText"/>
    <w:rsid w:val="00641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B04"/>
    <w:rPr>
      <w:rFonts w:ascii="Courier New" w:hAnsi="Courier New"/>
    </w:rPr>
  </w:style>
  <w:style w:type="paragraph" w:customStyle="1" w:styleId="NoteBullet">
    <w:name w:val="Note Bullet"/>
    <w:basedOn w:val="Note"/>
    <w:rsid w:val="00641B04"/>
    <w:pPr>
      <w:tabs>
        <w:tab w:val="clear" w:pos="680"/>
      </w:tabs>
      <w:spacing w:before="60" w:after="60"/>
    </w:pPr>
  </w:style>
  <w:style w:type="paragraph" w:customStyle="1" w:styleId="SubHeading2">
    <w:name w:val="SubHeading2"/>
    <w:basedOn w:val="HeadingBase"/>
    <w:rsid w:val="00641B04"/>
    <w:pPr>
      <w:spacing w:before="240" w:after="60"/>
    </w:pPr>
    <w:rPr>
      <w:sz w:val="20"/>
    </w:rPr>
  </w:style>
  <w:style w:type="paragraph" w:customStyle="1" w:styleId="SubHeading1">
    <w:name w:val="SubHeading1"/>
    <w:basedOn w:val="HeadingBase"/>
    <w:rsid w:val="00641B04"/>
    <w:pPr>
      <w:spacing w:before="240" w:after="60"/>
    </w:pPr>
    <w:rPr>
      <w:color w:val="918585"/>
      <w:sz w:val="22"/>
    </w:rPr>
  </w:style>
  <w:style w:type="paragraph" w:customStyle="1" w:styleId="SideHeading">
    <w:name w:val="Side Heading"/>
    <w:basedOn w:val="HeadingBase"/>
    <w:rsid w:val="00641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B04"/>
    <w:pPr>
      <w:tabs>
        <w:tab w:val="num" w:pos="360"/>
      </w:tabs>
    </w:pPr>
  </w:style>
  <w:style w:type="paragraph" w:styleId="PlainText">
    <w:name w:val="Plain Text"/>
    <w:basedOn w:val="Normal"/>
    <w:link w:val="PlainTextChar"/>
    <w:rsid w:val="00641B04"/>
    <w:rPr>
      <w:sz w:val="20"/>
    </w:rPr>
  </w:style>
  <w:style w:type="character" w:customStyle="1" w:styleId="PlainTextChar">
    <w:name w:val="Plain Text Char"/>
    <w:basedOn w:val="DefaultParagraphFont"/>
    <w:link w:val="PlainText"/>
    <w:rsid w:val="00641B04"/>
    <w:rPr>
      <w:rFonts w:ascii="Courier New" w:eastAsia="Times New Roman" w:hAnsi="Courier New" w:cs="Times New Roman"/>
      <w:sz w:val="20"/>
      <w:szCs w:val="20"/>
      <w:lang w:eastAsia="en-US"/>
    </w:rPr>
  </w:style>
  <w:style w:type="character" w:customStyle="1" w:styleId="MenuOption">
    <w:name w:val="Menu Option"/>
    <w:basedOn w:val="DefaultParagraphFont"/>
    <w:rsid w:val="00641B04"/>
    <w:rPr>
      <w:b/>
      <w:smallCaps/>
    </w:rPr>
  </w:style>
  <w:style w:type="paragraph" w:customStyle="1" w:styleId="TableListNumber">
    <w:name w:val="Table List Number"/>
    <w:basedOn w:val="ListNumber"/>
    <w:rsid w:val="00641B04"/>
    <w:pPr>
      <w:numPr>
        <w:numId w:val="0"/>
      </w:numPr>
    </w:pPr>
  </w:style>
  <w:style w:type="paragraph" w:styleId="TOC4">
    <w:name w:val="toc 4"/>
    <w:basedOn w:val="TOCBase"/>
    <w:next w:val="Normal"/>
    <w:semiHidden/>
    <w:rsid w:val="00641B04"/>
    <w:pPr>
      <w:tabs>
        <w:tab w:val="right" w:leader="dot" w:pos="9071"/>
      </w:tabs>
      <w:ind w:left="1701"/>
    </w:pPr>
  </w:style>
  <w:style w:type="paragraph" w:customStyle="1" w:styleId="ListAlpha">
    <w:name w:val="List Alpha"/>
    <w:basedOn w:val="List"/>
    <w:rsid w:val="00641B04"/>
    <w:pPr>
      <w:numPr>
        <w:numId w:val="9"/>
      </w:numPr>
    </w:pPr>
  </w:style>
  <w:style w:type="paragraph" w:customStyle="1" w:styleId="ListAlpha2">
    <w:name w:val="List Alpha 2"/>
    <w:basedOn w:val="List2"/>
    <w:rsid w:val="00641B04"/>
    <w:pPr>
      <w:numPr>
        <w:numId w:val="8"/>
      </w:numPr>
    </w:pPr>
  </w:style>
  <w:style w:type="paragraph" w:styleId="List2">
    <w:name w:val="List 2"/>
    <w:basedOn w:val="BodyText"/>
    <w:rsid w:val="00641B04"/>
    <w:pPr>
      <w:tabs>
        <w:tab w:val="left" w:pos="680"/>
      </w:tabs>
      <w:spacing w:before="60" w:after="60"/>
      <w:ind w:left="680" w:hanging="340"/>
    </w:pPr>
  </w:style>
  <w:style w:type="paragraph" w:styleId="List3">
    <w:name w:val="List 3"/>
    <w:basedOn w:val="BodyText"/>
    <w:rsid w:val="00641B04"/>
    <w:pPr>
      <w:tabs>
        <w:tab w:val="left" w:pos="1021"/>
      </w:tabs>
      <w:spacing w:before="60" w:after="60"/>
      <w:ind w:left="1020" w:hanging="340"/>
    </w:pPr>
  </w:style>
  <w:style w:type="paragraph" w:styleId="List4">
    <w:name w:val="List 4"/>
    <w:basedOn w:val="BodyText"/>
    <w:rsid w:val="00641B04"/>
    <w:pPr>
      <w:tabs>
        <w:tab w:val="left" w:pos="1361"/>
      </w:tabs>
      <w:spacing w:before="60" w:after="60"/>
      <w:ind w:left="1361" w:hanging="340"/>
    </w:pPr>
  </w:style>
  <w:style w:type="paragraph" w:styleId="List5">
    <w:name w:val="List 5"/>
    <w:basedOn w:val="BodyText"/>
    <w:rsid w:val="00641B04"/>
    <w:pPr>
      <w:tabs>
        <w:tab w:val="left" w:pos="1701"/>
      </w:tabs>
      <w:spacing w:before="60" w:after="60"/>
      <w:ind w:left="1701" w:hanging="340"/>
    </w:pPr>
  </w:style>
  <w:style w:type="paragraph" w:styleId="ListBullet3">
    <w:name w:val="List Bullet 3"/>
    <w:basedOn w:val="List3"/>
    <w:rsid w:val="00641B04"/>
    <w:pPr>
      <w:numPr>
        <w:numId w:val="14"/>
      </w:numPr>
      <w:tabs>
        <w:tab w:val="clear" w:pos="1021"/>
      </w:tabs>
      <w:ind w:left="1037" w:hanging="357"/>
    </w:pPr>
  </w:style>
  <w:style w:type="paragraph" w:styleId="ListBullet4">
    <w:name w:val="List Bullet 4"/>
    <w:basedOn w:val="List4"/>
    <w:rsid w:val="00641B04"/>
    <w:pPr>
      <w:numPr>
        <w:numId w:val="3"/>
      </w:numPr>
      <w:tabs>
        <w:tab w:val="clear" w:pos="1361"/>
      </w:tabs>
    </w:pPr>
  </w:style>
  <w:style w:type="paragraph" w:styleId="ListBullet5">
    <w:name w:val="List Bullet 5"/>
    <w:basedOn w:val="List5"/>
    <w:rsid w:val="00641B04"/>
    <w:pPr>
      <w:numPr>
        <w:numId w:val="4"/>
      </w:numPr>
    </w:pPr>
  </w:style>
  <w:style w:type="paragraph" w:styleId="ListContinue2">
    <w:name w:val="List Continue 2"/>
    <w:basedOn w:val="List2"/>
    <w:rsid w:val="00641B04"/>
    <w:pPr>
      <w:ind w:firstLine="0"/>
    </w:pPr>
  </w:style>
  <w:style w:type="paragraph" w:styleId="ListContinue3">
    <w:name w:val="List Continue 3"/>
    <w:basedOn w:val="List3"/>
    <w:rsid w:val="00641B04"/>
    <w:pPr>
      <w:ind w:left="1021" w:firstLine="0"/>
    </w:pPr>
  </w:style>
  <w:style w:type="paragraph" w:styleId="ListContinue4">
    <w:name w:val="List Continue 4"/>
    <w:basedOn w:val="List4"/>
    <w:rsid w:val="00641B04"/>
    <w:pPr>
      <w:ind w:firstLine="0"/>
    </w:pPr>
  </w:style>
  <w:style w:type="paragraph" w:styleId="ListContinue5">
    <w:name w:val="List Continue 5"/>
    <w:basedOn w:val="List5"/>
    <w:rsid w:val="00641B04"/>
    <w:pPr>
      <w:ind w:firstLine="0"/>
    </w:pPr>
  </w:style>
  <w:style w:type="paragraph" w:styleId="ListNumber3">
    <w:name w:val="List Number 3"/>
    <w:basedOn w:val="List3"/>
    <w:rsid w:val="00641B04"/>
    <w:pPr>
      <w:numPr>
        <w:numId w:val="5"/>
      </w:numPr>
    </w:pPr>
  </w:style>
  <w:style w:type="paragraph" w:styleId="ListNumber4">
    <w:name w:val="List Number 4"/>
    <w:basedOn w:val="List4"/>
    <w:rsid w:val="00641B04"/>
    <w:pPr>
      <w:numPr>
        <w:numId w:val="6"/>
      </w:numPr>
    </w:pPr>
  </w:style>
  <w:style w:type="paragraph" w:styleId="ListNumber5">
    <w:name w:val="List Number 5"/>
    <w:basedOn w:val="List5"/>
    <w:rsid w:val="00641B04"/>
    <w:pPr>
      <w:numPr>
        <w:numId w:val="7"/>
      </w:numPr>
    </w:pPr>
  </w:style>
  <w:style w:type="paragraph" w:styleId="BlockText">
    <w:name w:val="Block Text"/>
    <w:basedOn w:val="Normal"/>
    <w:rsid w:val="00641B04"/>
    <w:pPr>
      <w:spacing w:after="120"/>
      <w:ind w:left="1440" w:right="1440"/>
    </w:pPr>
  </w:style>
  <w:style w:type="character" w:customStyle="1" w:styleId="Subscript">
    <w:name w:val="Subscript"/>
    <w:basedOn w:val="DefaultParagraphFont"/>
    <w:rsid w:val="00641B04"/>
    <w:rPr>
      <w:sz w:val="16"/>
      <w:vertAlign w:val="subscript"/>
    </w:rPr>
  </w:style>
  <w:style w:type="character" w:customStyle="1" w:styleId="Superscript">
    <w:name w:val="Superscript"/>
    <w:basedOn w:val="DefaultParagraphFont"/>
    <w:rsid w:val="00641B04"/>
    <w:rPr>
      <w:sz w:val="16"/>
      <w:vertAlign w:val="superscript"/>
    </w:rPr>
  </w:style>
  <w:style w:type="character" w:customStyle="1" w:styleId="Symbols">
    <w:name w:val="Symbols"/>
    <w:basedOn w:val="DefaultParagraphFont"/>
    <w:rsid w:val="00641B04"/>
    <w:rPr>
      <w:rFonts w:ascii="Symbol" w:hAnsi="Symbol"/>
    </w:rPr>
  </w:style>
  <w:style w:type="character" w:customStyle="1" w:styleId="MenuOptions">
    <w:name w:val="Menu Options"/>
    <w:basedOn w:val="DefaultParagraphFont"/>
    <w:rsid w:val="00641B04"/>
    <w:rPr>
      <w:rFonts w:ascii="Arial Narrow" w:hAnsi="Arial Narrow"/>
      <w:smallCaps/>
    </w:rPr>
  </w:style>
  <w:style w:type="character" w:customStyle="1" w:styleId="Buttons">
    <w:name w:val="Buttons"/>
    <w:basedOn w:val="DefaultParagraphFont"/>
    <w:rsid w:val="00641B04"/>
    <w:rPr>
      <w:b/>
    </w:rPr>
  </w:style>
  <w:style w:type="character" w:customStyle="1" w:styleId="Underlined">
    <w:name w:val="Underlined"/>
    <w:basedOn w:val="DefaultParagraphFont"/>
    <w:rsid w:val="00641B04"/>
    <w:rPr>
      <w:u w:val="single"/>
    </w:rPr>
  </w:style>
  <w:style w:type="paragraph" w:customStyle="1" w:styleId="TableBodyTextRight">
    <w:name w:val="Table Body Text Right"/>
    <w:basedOn w:val="TableBodyText"/>
    <w:rsid w:val="00641B04"/>
    <w:pPr>
      <w:widowControl w:val="0"/>
      <w:autoSpaceDE w:val="0"/>
      <w:autoSpaceDN w:val="0"/>
      <w:adjustRightInd w:val="0"/>
      <w:jc w:val="right"/>
    </w:pPr>
    <w:rPr>
      <w:rFonts w:cs="Arial"/>
      <w:szCs w:val="18"/>
    </w:rPr>
  </w:style>
  <w:style w:type="paragraph" w:customStyle="1" w:styleId="CopyrightText">
    <w:name w:val="Copyright Text"/>
    <w:basedOn w:val="BodyText"/>
    <w:rsid w:val="00641B04"/>
    <w:rPr>
      <w:sz w:val="18"/>
    </w:rPr>
  </w:style>
  <w:style w:type="paragraph" w:customStyle="1" w:styleId="BodySmallRight">
    <w:name w:val="Body Small Right"/>
    <w:basedOn w:val="BodyTextRight"/>
    <w:rsid w:val="00641B04"/>
    <w:rPr>
      <w:sz w:val="18"/>
      <w:szCs w:val="18"/>
    </w:rPr>
  </w:style>
  <w:style w:type="paragraph" w:customStyle="1" w:styleId="MarginEdition">
    <w:name w:val="Margin Edition"/>
    <w:basedOn w:val="MarginNote"/>
    <w:rsid w:val="00641B04"/>
    <w:pPr>
      <w:spacing w:before="0" w:after="0"/>
    </w:pPr>
    <w:rPr>
      <w:rFonts w:ascii="Times New Roman" w:hAnsi="Times New Roman"/>
      <w:color w:val="999999"/>
    </w:rPr>
  </w:style>
  <w:style w:type="paragraph" w:customStyle="1" w:styleId="Spacer">
    <w:name w:val="Spacer"/>
    <w:basedOn w:val="Normal"/>
    <w:rsid w:val="00641B04"/>
    <w:rPr>
      <w:sz w:val="2"/>
      <w:szCs w:val="2"/>
    </w:rPr>
  </w:style>
  <w:style w:type="character" w:customStyle="1" w:styleId="Small">
    <w:name w:val="Small"/>
    <w:basedOn w:val="DefaultParagraphFont"/>
    <w:rsid w:val="00641B04"/>
    <w:rPr>
      <w:sz w:val="16"/>
    </w:rPr>
  </w:style>
  <w:style w:type="paragraph" w:customStyle="1" w:styleId="WideTable">
    <w:name w:val="Wide Table"/>
    <w:basedOn w:val="Normal"/>
    <w:rsid w:val="00641B04"/>
    <w:pPr>
      <w:ind w:left="-1418"/>
    </w:pPr>
    <w:rPr>
      <w:sz w:val="2"/>
      <w:szCs w:val="2"/>
    </w:rPr>
  </w:style>
  <w:style w:type="character" w:styleId="PageNumber">
    <w:name w:val="page number"/>
    <w:basedOn w:val="DefaultParagraphFont"/>
    <w:rsid w:val="00641B04"/>
  </w:style>
  <w:style w:type="paragraph" w:styleId="Quote">
    <w:name w:val="Quote"/>
    <w:basedOn w:val="Heading1"/>
    <w:link w:val="QuoteChar"/>
    <w:qFormat/>
    <w:rsid w:val="00641B04"/>
    <w:rPr>
      <w:b w:val="0"/>
      <w:sz w:val="72"/>
      <w:szCs w:val="72"/>
      <w:lang w:val="en-NZ"/>
    </w:rPr>
  </w:style>
  <w:style w:type="character" w:customStyle="1" w:styleId="QuoteChar">
    <w:name w:val="Quote Char"/>
    <w:basedOn w:val="DefaultParagraphFont"/>
    <w:link w:val="Quote"/>
    <w:rsid w:val="00641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B04"/>
    <w:pPr>
      <w:pageBreakBefore/>
    </w:pPr>
  </w:style>
  <w:style w:type="paragraph" w:customStyle="1" w:styleId="Border">
    <w:name w:val="Border"/>
    <w:basedOn w:val="Normal"/>
    <w:qFormat/>
    <w:rsid w:val="00641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B04"/>
    <w:rPr>
      <w:b/>
      <w:bCs/>
      <w:i/>
      <w:iCs/>
      <w:color w:val="auto"/>
    </w:rPr>
  </w:style>
  <w:style w:type="paragraph" w:styleId="IntenseQuote">
    <w:name w:val="Intense Quote"/>
    <w:basedOn w:val="Normal"/>
    <w:next w:val="Normal"/>
    <w:link w:val="IntenseQuoteChar"/>
    <w:uiPriority w:val="30"/>
    <w:qFormat/>
    <w:rsid w:val="00641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B04"/>
    <w:rPr>
      <w:smallCaps/>
      <w:color w:val="auto"/>
      <w:u w:val="single"/>
    </w:rPr>
  </w:style>
  <w:style w:type="character" w:styleId="IntenseReference">
    <w:name w:val="Intense Reference"/>
    <w:basedOn w:val="DefaultParagraphFont"/>
    <w:uiPriority w:val="32"/>
    <w:qFormat/>
    <w:rsid w:val="00641B04"/>
    <w:rPr>
      <w:b/>
      <w:bCs/>
      <w:smallCaps/>
      <w:color w:val="auto"/>
      <w:spacing w:val="5"/>
      <w:u w:val="single"/>
    </w:rPr>
  </w:style>
  <w:style w:type="paragraph" w:customStyle="1" w:styleId="2ColumnHeading">
    <w:name w:val="2Column Heading"/>
    <w:basedOn w:val="BodyText"/>
    <w:qFormat/>
    <w:rsid w:val="00641B04"/>
    <w:pPr>
      <w:spacing w:after="60"/>
      <w:ind w:left="-2268"/>
    </w:pPr>
    <w:rPr>
      <w:b/>
    </w:rPr>
  </w:style>
  <w:style w:type="paragraph" w:customStyle="1" w:styleId="Heading1TOC">
    <w:name w:val="Heading1 TOC"/>
    <w:basedOn w:val="Normal"/>
    <w:qFormat/>
    <w:rsid w:val="00641B04"/>
    <w:pPr>
      <w:spacing w:before="240" w:after="120"/>
    </w:pPr>
    <w:rPr>
      <w:rFonts w:ascii="Times New Roman" w:hAnsi="Times New Roman"/>
      <w:b/>
      <w:sz w:val="32"/>
    </w:rPr>
  </w:style>
  <w:style w:type="paragraph" w:customStyle="1" w:styleId="Heading2TOC">
    <w:name w:val="Heading2 TOC"/>
    <w:basedOn w:val="Normal"/>
    <w:qFormat/>
    <w:rsid w:val="00641B04"/>
    <w:pPr>
      <w:spacing w:before="240" w:after="60"/>
    </w:pPr>
    <w:rPr>
      <w:rFonts w:ascii="Times New Roman" w:hAnsi="Times New Roman"/>
      <w:b/>
      <w:sz w:val="28"/>
    </w:rPr>
  </w:style>
  <w:style w:type="character" w:customStyle="1" w:styleId="Underline">
    <w:name w:val="Underline"/>
    <w:basedOn w:val="DefaultParagraphFont"/>
    <w:qFormat/>
    <w:rsid w:val="00641B04"/>
    <w:rPr>
      <w:u w:val="single"/>
    </w:rPr>
  </w:style>
  <w:style w:type="character" w:customStyle="1" w:styleId="BoldandItalics">
    <w:name w:val="Bold and Italics"/>
    <w:qFormat/>
    <w:rsid w:val="00641B04"/>
    <w:rPr>
      <w:b/>
      <w:i/>
      <w:u w:val="none"/>
    </w:rPr>
  </w:style>
  <w:style w:type="paragraph" w:styleId="BalloonText">
    <w:name w:val="Balloon Text"/>
    <w:basedOn w:val="Normal"/>
    <w:link w:val="BalloonTextChar"/>
    <w:rsid w:val="00641B04"/>
    <w:rPr>
      <w:rFonts w:ascii="Tahoma" w:hAnsi="Tahoma" w:cs="Tahoma"/>
      <w:sz w:val="16"/>
      <w:szCs w:val="16"/>
    </w:rPr>
  </w:style>
  <w:style w:type="character" w:customStyle="1" w:styleId="BalloonTextChar">
    <w:name w:val="Balloon Text Char"/>
    <w:basedOn w:val="DefaultParagraphFont"/>
    <w:link w:val="BalloonText"/>
    <w:rsid w:val="00641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B04"/>
    <w:rPr>
      <w:b/>
      <w:color w:val="660033"/>
      <w:spacing w:val="0"/>
    </w:rPr>
  </w:style>
  <w:style w:type="paragraph" w:customStyle="1" w:styleId="Nameditemlist">
    <w:name w:val="Named item list"/>
    <w:basedOn w:val="BodyText"/>
    <w:qFormat/>
    <w:rsid w:val="00641B04"/>
    <w:pPr>
      <w:tabs>
        <w:tab w:val="left" w:pos="2835"/>
      </w:tabs>
      <w:ind w:left="2835" w:hanging="2835"/>
    </w:pPr>
  </w:style>
  <w:style w:type="paragraph" w:customStyle="1" w:styleId="BodyTextnopadding">
    <w:name w:val="Body Text no padding"/>
    <w:basedOn w:val="BodyText"/>
    <w:qFormat/>
    <w:rsid w:val="00641B04"/>
    <w:pPr>
      <w:spacing w:before="0" w:after="0"/>
    </w:pPr>
  </w:style>
  <w:style w:type="paragraph" w:customStyle="1" w:styleId="BodyTextBold">
    <w:name w:val="Body Text Bold"/>
    <w:basedOn w:val="BodyText"/>
    <w:qFormat/>
    <w:rsid w:val="00641B04"/>
    <w:rPr>
      <w:b/>
    </w:rPr>
  </w:style>
  <w:style w:type="character" w:styleId="Hyperlink">
    <w:name w:val="Hyperlink"/>
    <w:basedOn w:val="DefaultParagraphFont"/>
    <w:uiPriority w:val="99"/>
    <w:unhideWhenUsed/>
    <w:rsid w:val="00406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5537</Characters>
  <Application>Microsoft Office Word</Application>
  <DocSecurity>0</DocSecurity>
  <Lines>212</Lines>
  <Paragraphs>139</Paragraphs>
  <ScaleCrop>false</ScaleCrop>
  <Company>Author-it Software Corporation Ltd.</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CPCCST3025 Carry out basic stonemasonry demolition</dc:title>
  <dc:subject>Approved</dc:subject>
  <dc:creator>BuildSkills Australia</dc:creator>
  <cp:keywords>Release: 2</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