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165" w:rsidP="009571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CPCCST3025 Carry out basic stonemasonry demolition</w:t>
      </w:r>
      <w:r>
        <w:fldChar w:fldCharType="end"/>
      </w:r>
    </w:p>
    <w:p w:rsidR="00957165" w:rsidP="00957165">
      <w:pPr>
        <w:pStyle w:val="Version"/>
        <w:sectPr w:rsidSect="00AB6C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6C0C" w:rsidP="00AB6C0C">
      <w:pPr>
        <w:pStyle w:val="SuperHeading"/>
      </w:pPr>
      <w:r w:rsidRPr="00AB6C0C">
        <w:t>Assessment Requirements for CPCCST3025 Carry out basic stonemasonry demolition</w:t>
      </w:r>
    </w:p>
    <w:p w:rsidR="00000000" w:rsidRPr="00AB6C0C" w:rsidP="00AB6C0C">
      <w:pPr>
        <w:pStyle w:val="Heading1"/>
      </w:pPr>
      <w:bookmarkStart w:id="1" w:name="O_1296035"/>
      <w:bookmarkEnd w:id="1"/>
      <w:r w:rsidRPr="00AB6C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B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C0C">
            <w:pPr>
              <w:pStyle w:val="BodyText"/>
              <w:rPr>
                <w:lang w:val="en-NZ"/>
              </w:rPr>
            </w:pPr>
            <w:r w:rsidRPr="00AB6C0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C0C">
            <w:pPr>
              <w:pStyle w:val="BodyText"/>
              <w:rPr>
                <w:lang w:val="en-NZ"/>
              </w:rPr>
            </w:pPr>
            <w:r w:rsidRPr="00AB6C0C">
              <w:t>Updated reference to general construction induction training program.</w:t>
            </w:r>
          </w:p>
        </w:tc>
      </w:tr>
      <w:tr w:rsidTr="00AB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C0C">
            <w:pPr>
              <w:pStyle w:val="BodyText"/>
              <w:rPr>
                <w:lang w:val="en-NZ"/>
              </w:rPr>
            </w:pPr>
            <w:r w:rsidRPr="00AB6C0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C0C" w:rsidP="00AB6C0C">
            <w:pPr>
              <w:pStyle w:val="BodyText"/>
            </w:pPr>
            <w:r w:rsidRPr="00AB6C0C">
              <w:t>This version first released with CPC Construction, Plumbing and Services Training Package Release 5.0.</w:t>
            </w:r>
          </w:p>
          <w:p w:rsidR="00000000" w:rsidRPr="00AB6C0C" w:rsidP="00AB6C0C">
            <w:pPr>
              <w:pStyle w:val="BodyText"/>
            </w:pPr>
            <w:r w:rsidRPr="00AB6C0C">
              <w:t>New unit.</w:t>
            </w:r>
          </w:p>
        </w:tc>
      </w:tr>
    </w:tbl>
    <w:p w:rsidR="00000000" w:rsidRPr="00AB6C0C" w:rsidP="00AB6C0C">
      <w:pPr>
        <w:pStyle w:val="BodyText"/>
      </w:pPr>
    </w:p>
    <w:p w:rsidR="00000000" w:rsidRPr="00AB6C0C" w:rsidP="00AB6C0C">
      <w:pPr>
        <w:pStyle w:val="AllowPageBreak"/>
      </w:pPr>
    </w:p>
    <w:p w:rsidR="00000000" w:rsidRPr="00AB6C0C" w:rsidP="00AB6C0C">
      <w:pPr>
        <w:pStyle w:val="Heading1"/>
      </w:pPr>
      <w:bookmarkStart w:id="2" w:name="O_1296034"/>
      <w:bookmarkEnd w:id="2"/>
      <w:r w:rsidRPr="00AB6C0C">
        <w:t>Performance Evidence</w:t>
      </w:r>
    </w:p>
    <w:p w:rsidR="00000000" w:rsidRPr="00AB6C0C" w:rsidP="00957165">
      <w:pPr>
        <w:pStyle w:val="BodyText"/>
      </w:pPr>
      <w:r w:rsidRPr="00AB6C0C">
        <w:t>To demonstrate competency in this unit, a candidate must meet the performance criteria of this unit b</w:t>
      </w:r>
      <w:r w:rsidRPr="00AB6C0C">
        <w:t>y demolishing a stone wall with the intent to reuse the wall materials.</w:t>
      </w:r>
    </w:p>
    <w:p w:rsidR="00000000" w:rsidRPr="00AB6C0C" w:rsidP="00957165">
      <w:pPr>
        <w:pStyle w:val="BodyText"/>
      </w:pPr>
      <w:r w:rsidRPr="00AB6C0C">
        <w:t>In doing this, the candidate must:</w:t>
      </w:r>
    </w:p>
    <w:p w:rsidR="00000000" w:rsidRPr="00AB6C0C" w:rsidP="00AB6C0C">
      <w:pPr>
        <w:pStyle w:val="ListBullet"/>
      </w:pPr>
      <w:r w:rsidRPr="00AB6C0C">
        <w:t>dismantle a stone wall, minimum of 1.5 m long x 1.0 m high.</w:t>
      </w:r>
    </w:p>
    <w:p w:rsidR="00000000" w:rsidRPr="00AB6C0C" w:rsidP="00AB6C0C">
      <w:pPr>
        <w:pStyle w:val="AllowPageBreak"/>
      </w:pPr>
    </w:p>
    <w:p w:rsidR="00000000" w:rsidRPr="00AB6C0C" w:rsidP="00AB6C0C">
      <w:pPr>
        <w:pStyle w:val="Heading1"/>
      </w:pPr>
      <w:bookmarkStart w:id="3" w:name="O_1296033"/>
      <w:bookmarkEnd w:id="3"/>
      <w:r w:rsidRPr="00AB6C0C">
        <w:t>Knowledge Evidence</w:t>
      </w:r>
    </w:p>
    <w:p w:rsidR="00000000" w:rsidRPr="00AB6C0C" w:rsidP="00957165">
      <w:pPr>
        <w:pStyle w:val="BodyText"/>
      </w:pPr>
      <w:r w:rsidRPr="00AB6C0C">
        <w:t>To be competent in this unit, a person must demonstrate knowledge of:</w:t>
      </w:r>
    </w:p>
    <w:p w:rsidR="00000000" w:rsidRPr="00AB6C0C" w:rsidP="00AB6C0C">
      <w:pPr>
        <w:pStyle w:val="ListBullet"/>
      </w:pPr>
      <w:r w:rsidRPr="00AB6C0C">
        <w:t>types of natural and manufactured stone used in stone construction</w:t>
      </w:r>
    </w:p>
    <w:p w:rsidR="00000000" w:rsidRPr="00AB6C0C" w:rsidP="00AB6C0C">
      <w:pPr>
        <w:pStyle w:val="ListBullet"/>
      </w:pPr>
      <w:r w:rsidRPr="00AB6C0C">
        <w:t>construction terminology relating to stonemasonry demolition</w:t>
      </w:r>
    </w:p>
    <w:p w:rsidR="00000000" w:rsidRPr="00AB6C0C" w:rsidP="00AB6C0C">
      <w:pPr>
        <w:pStyle w:val="ListBullet"/>
      </w:pPr>
      <w:r w:rsidRPr="00AB6C0C">
        <w:t>processes and techniques for:</w:t>
      </w:r>
    </w:p>
    <w:p w:rsidR="00000000" w:rsidRPr="00AB6C0C" w:rsidP="00AB6C0C">
      <w:pPr>
        <w:pStyle w:val="ListBullet2"/>
      </w:pPr>
      <w:r w:rsidRPr="00AB6C0C">
        <w:t>dismantling and demolishin</w:t>
      </w:r>
      <w:r w:rsidRPr="00AB6C0C">
        <w:t>g load bearing and non-loadbearing stone construction</w:t>
      </w:r>
    </w:p>
    <w:p w:rsidR="00000000" w:rsidRPr="00AB6C0C" w:rsidP="00AB6C0C">
      <w:pPr>
        <w:pStyle w:val="ListBullet2"/>
      </w:pPr>
      <w:r w:rsidRPr="00AB6C0C">
        <w:t>removing fixtures and fittings</w:t>
      </w:r>
    </w:p>
    <w:p w:rsidR="00000000" w:rsidRPr="00AB6C0C" w:rsidP="00AB6C0C">
      <w:pPr>
        <w:pStyle w:val="ListBullet2"/>
      </w:pPr>
      <w:r w:rsidRPr="00AB6C0C">
        <w:t>demolishing a ceiling</w:t>
      </w:r>
    </w:p>
    <w:p w:rsidR="00000000" w:rsidRPr="00AB6C0C" w:rsidP="00AB6C0C">
      <w:pPr>
        <w:pStyle w:val="ListBullet2"/>
      </w:pPr>
      <w:r w:rsidRPr="00AB6C0C">
        <w:t>manual and mechanical demolition</w:t>
      </w:r>
    </w:p>
    <w:p w:rsidR="00000000" w:rsidRPr="00AB6C0C" w:rsidP="00AB6C0C">
      <w:pPr>
        <w:pStyle w:val="ListBullet2"/>
      </w:pPr>
      <w:r w:rsidRPr="00AB6C0C">
        <w:t>dismantling a headstone, socket and kerbing from a monument</w:t>
      </w:r>
    </w:p>
    <w:p w:rsidR="00000000" w:rsidRPr="00AB6C0C" w:rsidP="00AB6C0C">
      <w:pPr>
        <w:pStyle w:val="ListBullet"/>
      </w:pPr>
      <w:r w:rsidRPr="00AB6C0C">
        <w:t>structural integrity and load bearing forces</w:t>
      </w:r>
    </w:p>
    <w:p w:rsidR="00000000" w:rsidRPr="00AB6C0C" w:rsidP="00AB6C0C">
      <w:pPr>
        <w:pStyle w:val="ListBullet"/>
      </w:pPr>
      <w:r w:rsidRPr="00AB6C0C">
        <w:t xml:space="preserve">functional and operational features of plant and equipment, and hand and power tools </w:t>
      </w:r>
    </w:p>
    <w:p w:rsidR="00000000" w:rsidRPr="00AB6C0C" w:rsidP="00AB6C0C">
      <w:pPr>
        <w:pStyle w:val="ListBullet"/>
      </w:pPr>
      <w:r w:rsidRPr="00AB6C0C">
        <w:t>workplace processes and procedures</w:t>
      </w:r>
    </w:p>
    <w:p w:rsidR="00000000" w:rsidRPr="00AB6C0C" w:rsidP="00AB6C0C">
      <w:pPr>
        <w:pStyle w:val="ListBullet"/>
      </w:pPr>
      <w:r w:rsidRPr="00AB6C0C">
        <w:t>environmental and waste management requirements</w:t>
      </w:r>
    </w:p>
    <w:p w:rsidR="00000000" w:rsidRPr="00AB6C0C" w:rsidP="00AB6C0C">
      <w:pPr>
        <w:pStyle w:val="ListBullet"/>
      </w:pPr>
      <w:r w:rsidRPr="00AB6C0C">
        <w:t>workplace safety:</w:t>
      </w:r>
    </w:p>
    <w:p w:rsidR="00000000" w:rsidRPr="00AB6C0C" w:rsidP="00AB6C0C">
      <w:pPr>
        <w:pStyle w:val="ListBullet"/>
      </w:pPr>
      <w:r w:rsidRPr="00AB6C0C">
        <w:t>job safety and environmental analysis (JSEA)</w:t>
      </w:r>
    </w:p>
    <w:p w:rsidR="00000000" w:rsidRPr="00AB6C0C" w:rsidP="00AB6C0C">
      <w:pPr>
        <w:pStyle w:val="ListBullet2"/>
      </w:pPr>
      <w:r w:rsidRPr="00AB6C0C">
        <w:t>exposure to silica</w:t>
      </w:r>
    </w:p>
    <w:p w:rsidR="00000000" w:rsidRPr="00AB6C0C" w:rsidP="00AB6C0C">
      <w:pPr>
        <w:pStyle w:val="ListBullet2"/>
      </w:pPr>
      <w:r w:rsidRPr="00AB6C0C">
        <w:t>haza</w:t>
      </w:r>
      <w:r w:rsidRPr="00AB6C0C">
        <w:t>rdous manual tasks</w:t>
      </w:r>
    </w:p>
    <w:p w:rsidR="00000000" w:rsidRPr="00AB6C0C" w:rsidP="00AB6C0C">
      <w:pPr>
        <w:pStyle w:val="ListBullet2"/>
      </w:pPr>
      <w:r w:rsidRPr="00AB6C0C">
        <w:t>working at heights</w:t>
      </w:r>
    </w:p>
    <w:p w:rsidR="00000000" w:rsidRPr="00AB6C0C" w:rsidP="00AB6C0C">
      <w:pPr>
        <w:pStyle w:val="ListBullet2"/>
      </w:pPr>
      <w:r w:rsidRPr="00AB6C0C">
        <w:t xml:space="preserve">dust and dust suppression </w:t>
      </w:r>
    </w:p>
    <w:p w:rsidR="00000000" w:rsidRPr="00AB6C0C" w:rsidP="00AB6C0C">
      <w:pPr>
        <w:pStyle w:val="ListBullet2"/>
      </w:pPr>
      <w:r w:rsidRPr="00AB6C0C">
        <w:t>exclusion zones</w:t>
      </w:r>
    </w:p>
    <w:p w:rsidR="00000000" w:rsidRPr="00AB6C0C" w:rsidP="00AB6C0C">
      <w:pPr>
        <w:pStyle w:val="ListBullet2"/>
      </w:pPr>
      <w:r w:rsidRPr="00AB6C0C">
        <w:t>exposure to loud noise</w:t>
      </w:r>
    </w:p>
    <w:p w:rsidR="00000000" w:rsidRPr="00AB6C0C" w:rsidP="00AB6C0C">
      <w:pPr>
        <w:pStyle w:val="ListBullet"/>
      </w:pPr>
      <w:r w:rsidRPr="00AB6C0C">
        <w:t xml:space="preserve">relevant government demolition regulations </w:t>
      </w:r>
    </w:p>
    <w:p w:rsidR="00000000" w:rsidRPr="00AB6C0C" w:rsidP="00AB6C0C">
      <w:pPr>
        <w:pStyle w:val="ListBullet"/>
      </w:pPr>
      <w:r w:rsidRPr="00AB6C0C">
        <w:t>standards and codes relating to demolition</w:t>
      </w:r>
    </w:p>
    <w:p w:rsidR="00000000" w:rsidRPr="00AB6C0C" w:rsidP="00AB6C0C">
      <w:pPr>
        <w:pStyle w:val="ListBullet"/>
      </w:pPr>
      <w:r w:rsidRPr="00AB6C0C">
        <w:t>features of working drawings and specifications</w:t>
      </w:r>
    </w:p>
    <w:p w:rsidR="00000000" w:rsidRPr="00AB6C0C" w:rsidP="00AB6C0C">
      <w:pPr>
        <w:pStyle w:val="ListBullet"/>
      </w:pPr>
      <w:r w:rsidRPr="00AB6C0C">
        <w:t xml:space="preserve">environmental requirements for workplace processes and waste disposal </w:t>
      </w:r>
    </w:p>
    <w:p w:rsidR="00000000" w:rsidRPr="00AB6C0C" w:rsidP="00AB6C0C">
      <w:pPr>
        <w:pStyle w:val="ListBullet"/>
      </w:pPr>
      <w:r w:rsidRPr="00AB6C0C">
        <w:t>principles and procedures to conserve Australian heritage places according to the Burra Charter</w:t>
      </w:r>
    </w:p>
    <w:p w:rsidR="00000000" w:rsidRPr="00AB6C0C" w:rsidP="00AB6C0C">
      <w:pPr>
        <w:pStyle w:val="ListBullet"/>
      </w:pPr>
      <w:r w:rsidRPr="00AB6C0C">
        <w:t>digital technology and use of devices to source information and communicate with others</w:t>
      </w:r>
    </w:p>
    <w:p w:rsidR="00000000" w:rsidRPr="00AB6C0C" w:rsidP="00AB6C0C">
      <w:pPr>
        <w:pStyle w:val="ListBullet"/>
      </w:pPr>
      <w:r w:rsidRPr="00AB6C0C">
        <w:t>k</w:t>
      </w:r>
      <w:r w:rsidRPr="00AB6C0C">
        <w:t>ey requirements of the National Construction Code (NCC) relevant to load bearing structures during demolition.</w:t>
      </w:r>
    </w:p>
    <w:p w:rsidR="00000000" w:rsidRPr="00AB6C0C" w:rsidP="00AB6C0C">
      <w:pPr>
        <w:pStyle w:val="AllowPageBreak"/>
      </w:pPr>
    </w:p>
    <w:p w:rsidR="00000000" w:rsidRPr="00AB6C0C" w:rsidP="00AB6C0C">
      <w:pPr>
        <w:pStyle w:val="Heading1"/>
      </w:pPr>
      <w:bookmarkStart w:id="4" w:name="O_1296032"/>
      <w:bookmarkEnd w:id="4"/>
      <w:r w:rsidRPr="00AB6C0C">
        <w:t>Assessment Conditions</w:t>
      </w:r>
    </w:p>
    <w:p w:rsidR="00000000" w:rsidRPr="00AB6C0C" w:rsidP="00957165">
      <w:pPr>
        <w:pStyle w:val="BodyText"/>
      </w:pPr>
      <w:r w:rsidRPr="00AB6C0C">
        <w:t>Assessors must meet the requirements for assessors contained in the Standards for Registered Training Or</w:t>
      </w:r>
      <w:r w:rsidRPr="00AB6C0C">
        <w:t xml:space="preserve">ganisations. </w:t>
      </w:r>
    </w:p>
    <w:p w:rsidR="00000000" w:rsidRPr="00AB6C0C" w:rsidP="00957165">
      <w:pPr>
        <w:pStyle w:val="BodyText"/>
      </w:pPr>
      <w:r w:rsidRPr="00AB6C0C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AB6C0C" w:rsidP="00AB6C0C">
      <w:pPr>
        <w:pStyle w:val="Heading1"/>
      </w:pPr>
      <w:bookmarkStart w:id="5" w:name="O_1296045"/>
      <w:bookmarkEnd w:id="5"/>
      <w:r w:rsidRPr="00AB6C0C">
        <w:t>Links</w:t>
      </w:r>
    </w:p>
    <w:p w:rsidR="00000000" w:rsidRPr="00AB6C0C" w:rsidP="00957165">
      <w:pPr>
        <w:pStyle w:val="BodyText"/>
      </w:pPr>
      <w:r w:rsidRPr="00AB6C0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6665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B6C0C" w:rsidP="00AB6C0C"/>
    <w:sectPr w:rsidSect="00AB6C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C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C0C" w:rsidRPr="00957165" w:rsidP="009571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C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65" w:rsidP="00AB6C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7165" w:rsidP="00AB6C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57165" w:rsidP="00AB6C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C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6C0C" w:rsidRPr="00957165" w:rsidP="009571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C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65" w:rsidRPr="002D2AF8" w:rsidP="00AB6C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CPCCST3025 Carry out basic stonemasonry demolition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57165" w:rsidP="00AB6C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5864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DA1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92EF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C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6C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6C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6C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6C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6C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6C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6C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6C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6C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6C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6C0C"/>
  </w:style>
  <w:style w:type="character" w:customStyle="1" w:styleId="Heading1Char">
    <w:name w:val="Heading 1 Char"/>
    <w:basedOn w:val="DefaultParagraphFont"/>
    <w:link w:val="Heading1"/>
    <w:rsid w:val="00AB6C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6C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6C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6C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6C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6C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6C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6C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6C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6C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6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6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6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6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6C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6C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6C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6C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6C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6C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6C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6C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6C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6C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6C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6C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6C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6C0C"/>
    <w:rPr>
      <w:b/>
      <w:spacing w:val="0"/>
    </w:rPr>
  </w:style>
  <w:style w:type="paragraph" w:customStyle="1" w:styleId="SuperTitle">
    <w:name w:val="SuperTitle"/>
    <w:basedOn w:val="Title"/>
    <w:rsid w:val="00AB6C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6C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6C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6C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6C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6C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6C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6C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6C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6C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6C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6C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6C0C"/>
    <w:rPr>
      <w:i/>
    </w:rPr>
  </w:style>
  <w:style w:type="paragraph" w:styleId="Caption">
    <w:name w:val="caption"/>
    <w:basedOn w:val="BodyText"/>
    <w:next w:val="Normal"/>
    <w:qFormat/>
    <w:rsid w:val="00AB6C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6C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6C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6C0C"/>
  </w:style>
  <w:style w:type="paragraph" w:styleId="TableofFigures">
    <w:name w:val="table of figures"/>
    <w:basedOn w:val="Normal"/>
    <w:next w:val="Normal"/>
    <w:semiHidden/>
    <w:rsid w:val="00AB6C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6C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6C0C"/>
    <w:rPr>
      <w:rFonts w:ascii="Wingdings" w:hAnsi="Wingdings"/>
    </w:rPr>
  </w:style>
  <w:style w:type="paragraph" w:customStyle="1" w:styleId="TableHeading">
    <w:name w:val="Table Heading"/>
    <w:basedOn w:val="HeadingBase"/>
    <w:rsid w:val="00AB6C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6C0C"/>
    <w:rPr>
      <w:color w:val="0033CC"/>
      <w:u w:val="none"/>
    </w:rPr>
  </w:style>
  <w:style w:type="paragraph" w:customStyle="1" w:styleId="BodyTextRight">
    <w:name w:val="Body Text Right"/>
    <w:basedOn w:val="BodyText"/>
    <w:rsid w:val="00AB6C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6C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6C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6C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6C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6C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6C0C"/>
    <w:rPr>
      <w:sz w:val="32"/>
    </w:rPr>
  </w:style>
  <w:style w:type="paragraph" w:customStyle="1" w:styleId="HeadingProcedure">
    <w:name w:val="Heading Procedure"/>
    <w:basedOn w:val="HeadingBase"/>
    <w:next w:val="Normal"/>
    <w:rsid w:val="00AB6C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6C0C"/>
    <w:pPr>
      <w:spacing w:before="60" w:after="60"/>
    </w:pPr>
  </w:style>
  <w:style w:type="paragraph" w:styleId="ListContinue">
    <w:name w:val="List Continue"/>
    <w:basedOn w:val="List"/>
    <w:rsid w:val="00AB6C0C"/>
    <w:pPr>
      <w:ind w:firstLine="0"/>
    </w:pPr>
  </w:style>
  <w:style w:type="paragraph" w:customStyle="1" w:styleId="ListNote">
    <w:name w:val="List Note"/>
    <w:basedOn w:val="List"/>
    <w:rsid w:val="00AB6C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6C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6C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6C0C"/>
    <w:rPr>
      <w:rFonts w:ascii="Courier New" w:hAnsi="Courier New"/>
    </w:rPr>
  </w:style>
  <w:style w:type="paragraph" w:customStyle="1" w:styleId="NoteBullet">
    <w:name w:val="Note Bullet"/>
    <w:basedOn w:val="Note"/>
    <w:rsid w:val="00AB6C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6C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6C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6C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6C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6C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6C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6C0C"/>
    <w:rPr>
      <w:b/>
      <w:smallCaps/>
    </w:rPr>
  </w:style>
  <w:style w:type="paragraph" w:customStyle="1" w:styleId="TableListNumber">
    <w:name w:val="Table List Number"/>
    <w:basedOn w:val="ListNumber"/>
    <w:rsid w:val="00AB6C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6C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6C0C"/>
    <w:pPr>
      <w:numPr>
        <w:numId w:val="9"/>
      </w:numPr>
    </w:pPr>
  </w:style>
  <w:style w:type="paragraph" w:customStyle="1" w:styleId="ListAlpha2">
    <w:name w:val="List Alpha 2"/>
    <w:basedOn w:val="List2"/>
    <w:rsid w:val="00AB6C0C"/>
    <w:pPr>
      <w:numPr>
        <w:numId w:val="8"/>
      </w:numPr>
    </w:pPr>
  </w:style>
  <w:style w:type="paragraph" w:styleId="List2">
    <w:name w:val="List 2"/>
    <w:basedOn w:val="BodyText"/>
    <w:rsid w:val="00AB6C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6C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6C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6C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6C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6C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6C0C"/>
    <w:pPr>
      <w:numPr>
        <w:numId w:val="4"/>
      </w:numPr>
    </w:pPr>
  </w:style>
  <w:style w:type="paragraph" w:styleId="ListContinue2">
    <w:name w:val="List Continue 2"/>
    <w:basedOn w:val="List2"/>
    <w:rsid w:val="00AB6C0C"/>
    <w:pPr>
      <w:ind w:firstLine="0"/>
    </w:pPr>
  </w:style>
  <w:style w:type="paragraph" w:styleId="ListContinue3">
    <w:name w:val="List Continue 3"/>
    <w:basedOn w:val="List3"/>
    <w:rsid w:val="00AB6C0C"/>
    <w:pPr>
      <w:ind w:left="1021" w:firstLine="0"/>
    </w:pPr>
  </w:style>
  <w:style w:type="paragraph" w:styleId="ListContinue4">
    <w:name w:val="List Continue 4"/>
    <w:basedOn w:val="List4"/>
    <w:rsid w:val="00AB6C0C"/>
    <w:pPr>
      <w:ind w:firstLine="0"/>
    </w:pPr>
  </w:style>
  <w:style w:type="paragraph" w:styleId="ListContinue5">
    <w:name w:val="List Continue 5"/>
    <w:basedOn w:val="List5"/>
    <w:rsid w:val="00AB6C0C"/>
    <w:pPr>
      <w:ind w:firstLine="0"/>
    </w:pPr>
  </w:style>
  <w:style w:type="paragraph" w:styleId="ListNumber3">
    <w:name w:val="List Number 3"/>
    <w:basedOn w:val="List3"/>
    <w:rsid w:val="00AB6C0C"/>
    <w:pPr>
      <w:numPr>
        <w:numId w:val="5"/>
      </w:numPr>
    </w:pPr>
  </w:style>
  <w:style w:type="paragraph" w:styleId="ListNumber4">
    <w:name w:val="List Number 4"/>
    <w:basedOn w:val="List4"/>
    <w:rsid w:val="00AB6C0C"/>
    <w:pPr>
      <w:numPr>
        <w:numId w:val="6"/>
      </w:numPr>
    </w:pPr>
  </w:style>
  <w:style w:type="paragraph" w:styleId="ListNumber5">
    <w:name w:val="List Number 5"/>
    <w:basedOn w:val="List5"/>
    <w:rsid w:val="00AB6C0C"/>
    <w:pPr>
      <w:numPr>
        <w:numId w:val="7"/>
      </w:numPr>
    </w:pPr>
  </w:style>
  <w:style w:type="paragraph" w:styleId="BlockText">
    <w:name w:val="Block Text"/>
    <w:basedOn w:val="Normal"/>
    <w:rsid w:val="00AB6C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6C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6C0C"/>
    <w:rPr>
      <w:sz w:val="16"/>
      <w:vertAlign w:val="superscript"/>
    </w:rPr>
  </w:style>
  <w:style w:type="character" w:customStyle="1" w:styleId="Symbols">
    <w:name w:val="Symbols"/>
    <w:basedOn w:val="DefaultParagraphFont"/>
    <w:rsid w:val="00AB6C0C"/>
    <w:rPr>
      <w:rFonts w:ascii="Symbol" w:hAnsi="Symbol"/>
    </w:rPr>
  </w:style>
  <w:style w:type="character" w:customStyle="1" w:styleId="MenuOptions">
    <w:name w:val="Menu Options"/>
    <w:basedOn w:val="DefaultParagraphFont"/>
    <w:rsid w:val="00AB6C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6C0C"/>
    <w:rPr>
      <w:b/>
    </w:rPr>
  </w:style>
  <w:style w:type="character" w:customStyle="1" w:styleId="Underlined">
    <w:name w:val="Underlined"/>
    <w:basedOn w:val="DefaultParagraphFont"/>
    <w:rsid w:val="00AB6C0C"/>
    <w:rPr>
      <w:u w:val="single"/>
    </w:rPr>
  </w:style>
  <w:style w:type="paragraph" w:customStyle="1" w:styleId="TableBodyTextRight">
    <w:name w:val="Table Body Text Right"/>
    <w:basedOn w:val="TableBodyText"/>
    <w:rsid w:val="00AB6C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6C0C"/>
    <w:rPr>
      <w:sz w:val="18"/>
    </w:rPr>
  </w:style>
  <w:style w:type="paragraph" w:customStyle="1" w:styleId="BodySmallRight">
    <w:name w:val="Body Small Right"/>
    <w:basedOn w:val="BodyTextRight"/>
    <w:rsid w:val="00AB6C0C"/>
    <w:rPr>
      <w:sz w:val="18"/>
      <w:szCs w:val="18"/>
    </w:rPr>
  </w:style>
  <w:style w:type="paragraph" w:customStyle="1" w:styleId="MarginEdition">
    <w:name w:val="Margin Edition"/>
    <w:basedOn w:val="MarginNote"/>
    <w:rsid w:val="00AB6C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6C0C"/>
    <w:rPr>
      <w:sz w:val="2"/>
      <w:szCs w:val="2"/>
    </w:rPr>
  </w:style>
  <w:style w:type="character" w:customStyle="1" w:styleId="Small">
    <w:name w:val="Small"/>
    <w:basedOn w:val="DefaultParagraphFont"/>
    <w:rsid w:val="00AB6C0C"/>
    <w:rPr>
      <w:sz w:val="16"/>
    </w:rPr>
  </w:style>
  <w:style w:type="paragraph" w:customStyle="1" w:styleId="WideTable">
    <w:name w:val="Wide Table"/>
    <w:basedOn w:val="Normal"/>
    <w:rsid w:val="00AB6C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6C0C"/>
  </w:style>
  <w:style w:type="paragraph" w:styleId="Quote">
    <w:name w:val="Quote"/>
    <w:basedOn w:val="Heading1"/>
    <w:link w:val="QuoteChar"/>
    <w:qFormat/>
    <w:rsid w:val="00AB6C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6C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6C0C"/>
    <w:pPr>
      <w:pageBreakBefore/>
    </w:pPr>
  </w:style>
  <w:style w:type="paragraph" w:customStyle="1" w:styleId="Border">
    <w:name w:val="Border"/>
    <w:basedOn w:val="Normal"/>
    <w:qFormat/>
    <w:rsid w:val="00AB6C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6C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C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C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6C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6C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6C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6C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6C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6C0C"/>
    <w:rPr>
      <w:u w:val="single"/>
    </w:rPr>
  </w:style>
  <w:style w:type="character" w:customStyle="1" w:styleId="BoldandItalics">
    <w:name w:val="Bold and Italics"/>
    <w:qFormat/>
    <w:rsid w:val="00AB6C0C"/>
    <w:rPr>
      <w:b/>
      <w:i/>
      <w:u w:val="none"/>
    </w:rPr>
  </w:style>
  <w:style w:type="paragraph" w:styleId="BalloonText">
    <w:name w:val="Balloon Text"/>
    <w:basedOn w:val="Normal"/>
    <w:link w:val="BalloonTextChar"/>
    <w:rsid w:val="00AB6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6C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6C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6C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6C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6C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6C0C"/>
    <w:pPr>
      <w:spacing w:before="0" w:after="0"/>
    </w:pPr>
  </w:style>
  <w:style w:type="paragraph" w:customStyle="1" w:styleId="BodyTextBold">
    <w:name w:val="Body Text Bold"/>
    <w:basedOn w:val="BodyText"/>
    <w:qFormat/>
    <w:rsid w:val="00AB6C0C"/>
    <w:rPr>
      <w:b/>
    </w:rPr>
  </w:style>
  <w:style w:type="character" w:styleId="Hyperlink">
    <w:name w:val="Hyperlink"/>
    <w:basedOn w:val="DefaultParagraphFont"/>
    <w:uiPriority w:val="99"/>
    <w:unhideWhenUsed/>
    <w:rsid w:val="009571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2419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CPCCST3025 Carry out basic stonemasonry demolition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