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70B4" w:rsidP="002170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CPCCST3023 Apply drawing principles to stonemasonry</w:t>
      </w:r>
      <w:r>
        <w:fldChar w:fldCharType="end"/>
      </w:r>
    </w:p>
    <w:p w:rsidR="002170B4" w:rsidP="002170B4">
      <w:pPr>
        <w:pStyle w:val="Version"/>
        <w:sectPr w:rsidSect="00FE0E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E0E2F" w:rsidP="00FE0E2F">
      <w:pPr>
        <w:pStyle w:val="SuperHeading"/>
      </w:pPr>
      <w:r w:rsidRPr="00FE0E2F">
        <w:t>Assessment Requirements for CPCCST3023 Apply drawing principles to stonemasonry</w:t>
      </w:r>
    </w:p>
    <w:p w:rsidR="00000000" w:rsidRPr="00FE0E2F" w:rsidP="00FE0E2F">
      <w:pPr>
        <w:pStyle w:val="Heading1"/>
      </w:pPr>
      <w:bookmarkStart w:id="1" w:name="O_1296003"/>
      <w:bookmarkEnd w:id="1"/>
      <w:r w:rsidRPr="00FE0E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E0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2F">
            <w:pPr>
              <w:pStyle w:val="BodyText"/>
              <w:rPr>
                <w:lang w:val="en-NZ"/>
              </w:rPr>
            </w:pPr>
            <w:r w:rsidRPr="00FE0E2F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2F">
            <w:pPr>
              <w:pStyle w:val="BodyText"/>
              <w:rPr>
                <w:lang w:val="en-NZ"/>
              </w:rPr>
            </w:pPr>
            <w:r w:rsidRPr="00FE0E2F">
              <w:t>Updated reference to general construction induction training program.</w:t>
            </w:r>
          </w:p>
        </w:tc>
      </w:tr>
      <w:tr w:rsidTr="00FE0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2F">
            <w:pPr>
              <w:pStyle w:val="BodyText"/>
              <w:rPr>
                <w:lang w:val="en-NZ"/>
              </w:rPr>
            </w:pPr>
            <w:r w:rsidRPr="00FE0E2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E2F" w:rsidP="00FE0E2F">
            <w:pPr>
              <w:pStyle w:val="BodyText"/>
            </w:pPr>
            <w:r w:rsidRPr="00FE0E2F">
              <w:t>This version first released with CPC Construction, Plumbing and Services Training Package Release 5.0.</w:t>
            </w:r>
          </w:p>
          <w:p w:rsidR="00000000" w:rsidRPr="00FE0E2F" w:rsidP="00FE0E2F">
            <w:pPr>
              <w:pStyle w:val="BodyText"/>
            </w:pPr>
            <w:r w:rsidRPr="00FE0E2F">
              <w:t>New unit.</w:t>
            </w:r>
          </w:p>
        </w:tc>
      </w:tr>
    </w:tbl>
    <w:p w:rsidR="00000000" w:rsidRPr="00FE0E2F" w:rsidP="00FE0E2F">
      <w:pPr>
        <w:pStyle w:val="BodyText"/>
      </w:pPr>
    </w:p>
    <w:p w:rsidR="00000000" w:rsidRPr="00FE0E2F" w:rsidP="00FE0E2F">
      <w:pPr>
        <w:pStyle w:val="AllowPageBreak"/>
      </w:pPr>
    </w:p>
    <w:p w:rsidR="00000000" w:rsidRPr="00FE0E2F" w:rsidP="00FE0E2F">
      <w:pPr>
        <w:pStyle w:val="Heading1"/>
      </w:pPr>
      <w:bookmarkStart w:id="2" w:name="O_1296002"/>
      <w:bookmarkEnd w:id="2"/>
      <w:r w:rsidRPr="00FE0E2F">
        <w:t>Performance Evidence</w:t>
      </w:r>
    </w:p>
    <w:p w:rsidR="00000000" w:rsidRPr="00FE0E2F" w:rsidP="002170B4">
      <w:pPr>
        <w:pStyle w:val="BodyText"/>
      </w:pPr>
      <w:r w:rsidRPr="00FE0E2F">
        <w:t>To demonstrate competency in this unit, a candidate must meet the performance criteria of this unit b</w:t>
      </w:r>
      <w:r w:rsidRPr="00FE0E2F">
        <w:t>y creating a freehand sketch of a standard heritage boss stone and producing a technical drawing for a 6.0 m long x 1.5 m high stone wall construction.</w:t>
      </w:r>
    </w:p>
    <w:p w:rsidR="00000000" w:rsidRPr="00FE0E2F" w:rsidP="002170B4">
      <w:pPr>
        <w:pStyle w:val="BodyText"/>
      </w:pPr>
      <w:r w:rsidRPr="00FE0E2F">
        <w:t>In doing this, the candidate must:</w:t>
      </w:r>
    </w:p>
    <w:p w:rsidR="00000000" w:rsidRPr="00FE0E2F" w:rsidP="00FE0E2F">
      <w:pPr>
        <w:pStyle w:val="ListBullet"/>
      </w:pPr>
      <w:r w:rsidRPr="00FE0E2F">
        <w:t>apply primary and secondary lines and shade and light in creating th</w:t>
      </w:r>
      <w:r w:rsidRPr="00FE0E2F">
        <w:t>e freehand sketch</w:t>
      </w:r>
    </w:p>
    <w:p w:rsidR="00000000" w:rsidRPr="00FE0E2F" w:rsidP="00FE0E2F">
      <w:pPr>
        <w:pStyle w:val="ListBullet"/>
      </w:pPr>
      <w:r w:rsidRPr="00FE0E2F">
        <w:t>apply standard drawing conventions to the technical drawing and include the following:</w:t>
      </w:r>
    </w:p>
    <w:p w:rsidR="00000000" w:rsidRPr="00FE0E2F" w:rsidP="00FE0E2F">
      <w:pPr>
        <w:pStyle w:val="ListBullet2"/>
      </w:pPr>
      <w:r w:rsidRPr="00FE0E2F">
        <w:t>scale, title block</w:t>
      </w:r>
    </w:p>
    <w:p w:rsidR="00000000" w:rsidRPr="00FE0E2F" w:rsidP="00FE0E2F">
      <w:pPr>
        <w:pStyle w:val="ListBullet2"/>
      </w:pPr>
      <w:r w:rsidRPr="00FE0E2F">
        <w:t>plan, section and elevation views</w:t>
      </w:r>
    </w:p>
    <w:p w:rsidR="00000000" w:rsidRPr="00FE0E2F" w:rsidP="00FE0E2F">
      <w:pPr>
        <w:pStyle w:val="ListBullet2"/>
      </w:pPr>
      <w:r w:rsidRPr="00FE0E2F">
        <w:t>dimensions lines to indicate footing size and position of wall on footing, height and length of wall and stone and joint sizes</w:t>
      </w:r>
    </w:p>
    <w:p w:rsidR="00000000" w:rsidRPr="00FE0E2F" w:rsidP="00FE0E2F">
      <w:pPr>
        <w:pStyle w:val="ListBullet2"/>
      </w:pPr>
      <w:r w:rsidRPr="00FE0E2F">
        <w:t xml:space="preserve">ground line </w:t>
      </w:r>
    </w:p>
    <w:p w:rsidR="00000000" w:rsidRPr="00FE0E2F" w:rsidP="00FE0E2F">
      <w:pPr>
        <w:pStyle w:val="AllowPageBreak"/>
      </w:pPr>
    </w:p>
    <w:p w:rsidR="00000000" w:rsidRPr="00FE0E2F" w:rsidP="00FE0E2F">
      <w:pPr>
        <w:pStyle w:val="Heading1"/>
      </w:pPr>
      <w:bookmarkStart w:id="3" w:name="O_1296001"/>
      <w:bookmarkEnd w:id="3"/>
      <w:r w:rsidRPr="00FE0E2F">
        <w:t>Knowledge Evidence</w:t>
      </w:r>
    </w:p>
    <w:p w:rsidR="00000000" w:rsidRPr="00FE0E2F" w:rsidP="002170B4">
      <w:pPr>
        <w:pStyle w:val="BodyText"/>
      </w:pPr>
      <w:r w:rsidRPr="00FE0E2F">
        <w:t>To be competent in this unit, a person must demonstrate knowledge of:</w:t>
      </w:r>
    </w:p>
    <w:p w:rsidR="00000000" w:rsidRPr="00FE0E2F" w:rsidP="00FE0E2F">
      <w:pPr>
        <w:pStyle w:val="ListBullet"/>
      </w:pPr>
      <w:r w:rsidRPr="00FE0E2F">
        <w:t>princip</w:t>
      </w:r>
      <w:r w:rsidRPr="00FE0E2F">
        <w:t>les and application of geometry</w:t>
      </w:r>
    </w:p>
    <w:p w:rsidR="00000000" w:rsidRPr="00FE0E2F" w:rsidP="00FE0E2F">
      <w:pPr>
        <w:pStyle w:val="ListBullet"/>
      </w:pPr>
      <w:r w:rsidRPr="00FE0E2F">
        <w:t>drawing methods:</w:t>
      </w:r>
    </w:p>
    <w:p w:rsidR="00000000" w:rsidRPr="00FE0E2F" w:rsidP="00FE0E2F">
      <w:pPr>
        <w:pStyle w:val="ListBullet2"/>
      </w:pPr>
      <w:r w:rsidRPr="00FE0E2F">
        <w:t xml:space="preserve">hand sketching </w:t>
      </w:r>
    </w:p>
    <w:p w:rsidR="00000000" w:rsidRPr="00FE0E2F" w:rsidP="00FE0E2F">
      <w:pPr>
        <w:pStyle w:val="ListBullet2"/>
      </w:pPr>
      <w:r w:rsidRPr="00FE0E2F">
        <w:t>using drawing instruments</w:t>
      </w:r>
    </w:p>
    <w:p w:rsidR="00000000" w:rsidRPr="00FE0E2F" w:rsidP="00FE0E2F">
      <w:pPr>
        <w:pStyle w:val="ListBullet2"/>
      </w:pPr>
      <w:r w:rsidRPr="00FE0E2F">
        <w:t>computer aided</w:t>
      </w:r>
    </w:p>
    <w:p w:rsidR="00000000" w:rsidRPr="00FE0E2F" w:rsidP="00FE0E2F">
      <w:pPr>
        <w:pStyle w:val="ListBullet"/>
      </w:pPr>
      <w:r w:rsidRPr="00FE0E2F">
        <w:t>types of technical drawings:</w:t>
      </w:r>
    </w:p>
    <w:p w:rsidR="00000000" w:rsidRPr="00FE0E2F" w:rsidP="00FE0E2F">
      <w:pPr>
        <w:pStyle w:val="ListBullet2"/>
      </w:pPr>
      <w:r w:rsidRPr="00FE0E2F">
        <w:t>orthographic</w:t>
      </w:r>
    </w:p>
    <w:p w:rsidR="00000000" w:rsidRPr="00FE0E2F" w:rsidP="00FE0E2F">
      <w:pPr>
        <w:pStyle w:val="ListBullet2"/>
      </w:pPr>
      <w:r w:rsidRPr="00FE0E2F">
        <w:t>isometric</w:t>
      </w:r>
    </w:p>
    <w:p w:rsidR="00000000" w:rsidRPr="00FE0E2F" w:rsidP="00FE0E2F">
      <w:pPr>
        <w:pStyle w:val="ListBullet2"/>
      </w:pPr>
      <w:r w:rsidRPr="00FE0E2F">
        <w:t>pictorial</w:t>
      </w:r>
    </w:p>
    <w:p w:rsidR="00000000" w:rsidRPr="00FE0E2F" w:rsidP="00FE0E2F">
      <w:pPr>
        <w:pStyle w:val="ListBullet"/>
      </w:pPr>
      <w:r w:rsidRPr="00FE0E2F">
        <w:t>drafting and drawing protocols/conventions:</w:t>
      </w:r>
    </w:p>
    <w:p w:rsidR="00000000" w:rsidRPr="00FE0E2F" w:rsidP="00FE0E2F">
      <w:pPr>
        <w:pStyle w:val="ListBullet2"/>
      </w:pPr>
      <w:r w:rsidRPr="00FE0E2F">
        <w:t>elevations or projections</w:t>
      </w:r>
    </w:p>
    <w:p w:rsidR="00000000" w:rsidRPr="00FE0E2F" w:rsidP="00FE0E2F">
      <w:pPr>
        <w:pStyle w:val="ListBullet2"/>
      </w:pPr>
      <w:r w:rsidRPr="00FE0E2F">
        <w:t>sections</w:t>
      </w:r>
    </w:p>
    <w:p w:rsidR="00000000" w:rsidRPr="00FE0E2F" w:rsidP="00FE0E2F">
      <w:pPr>
        <w:pStyle w:val="ListBullet2"/>
      </w:pPr>
      <w:r w:rsidRPr="00FE0E2F">
        <w:t>details</w:t>
      </w:r>
    </w:p>
    <w:p w:rsidR="00000000" w:rsidRPr="00FE0E2F" w:rsidP="00FE0E2F">
      <w:pPr>
        <w:pStyle w:val="ListBullet2"/>
      </w:pPr>
      <w:r w:rsidRPr="00FE0E2F">
        <w:t>abbreviations</w:t>
      </w:r>
    </w:p>
    <w:p w:rsidR="00000000" w:rsidRPr="00FE0E2F" w:rsidP="00FE0E2F">
      <w:pPr>
        <w:pStyle w:val="ListBullet2"/>
      </w:pPr>
      <w:r w:rsidRPr="00FE0E2F">
        <w:t>commonly used symbols</w:t>
      </w:r>
    </w:p>
    <w:p w:rsidR="00000000" w:rsidRPr="00FE0E2F" w:rsidP="00FE0E2F">
      <w:pPr>
        <w:pStyle w:val="ListBullet2"/>
      </w:pPr>
      <w:r w:rsidRPr="00FE0E2F">
        <w:t>legends / keys</w:t>
      </w:r>
    </w:p>
    <w:p w:rsidR="00000000" w:rsidRPr="00FE0E2F" w:rsidP="00FE0E2F">
      <w:pPr>
        <w:pStyle w:val="ListBullet2"/>
      </w:pPr>
      <w:r w:rsidRPr="00FE0E2F">
        <w:t>lettering standards</w:t>
      </w:r>
    </w:p>
    <w:p w:rsidR="00000000" w:rsidRPr="00FE0E2F" w:rsidP="00FE0E2F">
      <w:pPr>
        <w:pStyle w:val="ListBullet2"/>
      </w:pPr>
      <w:r w:rsidRPr="00FE0E2F">
        <w:t>scale</w:t>
      </w:r>
    </w:p>
    <w:p w:rsidR="00000000" w:rsidRPr="00FE0E2F" w:rsidP="00FE0E2F">
      <w:pPr>
        <w:pStyle w:val="ListBullet2"/>
      </w:pPr>
      <w:r w:rsidRPr="00FE0E2F">
        <w:t>paper size</w:t>
      </w:r>
    </w:p>
    <w:p w:rsidR="00000000" w:rsidRPr="00FE0E2F" w:rsidP="00FE0E2F">
      <w:pPr>
        <w:pStyle w:val="ListBullet"/>
      </w:pPr>
      <w:r w:rsidRPr="00FE0E2F">
        <w:t>International System of Units (SI)</w:t>
      </w:r>
    </w:p>
    <w:p w:rsidR="00000000" w:rsidRPr="00FE0E2F" w:rsidP="00FE0E2F">
      <w:pPr>
        <w:pStyle w:val="ListBullet"/>
      </w:pPr>
      <w:r w:rsidRPr="00FE0E2F">
        <w:t>stonemasonry and heritage terminology:</w:t>
      </w:r>
    </w:p>
    <w:p w:rsidR="00000000" w:rsidRPr="00FE0E2F" w:rsidP="00FE0E2F">
      <w:pPr>
        <w:pStyle w:val="ListBullet2"/>
      </w:pPr>
      <w:r w:rsidRPr="00FE0E2F">
        <w:t>pediments, volutes, entablatures</w:t>
      </w:r>
    </w:p>
    <w:p w:rsidR="00000000" w:rsidRPr="00FE0E2F" w:rsidP="00FE0E2F">
      <w:pPr>
        <w:pStyle w:val="ListBullet2"/>
      </w:pPr>
      <w:r w:rsidRPr="00FE0E2F">
        <w:t>crockets, finals, boss stones</w:t>
      </w:r>
    </w:p>
    <w:p w:rsidR="00000000" w:rsidRPr="00FE0E2F" w:rsidP="00FE0E2F">
      <w:pPr>
        <w:pStyle w:val="ListBullet2"/>
      </w:pPr>
      <w:r w:rsidRPr="00FE0E2F">
        <w:t>return corners</w:t>
      </w:r>
    </w:p>
    <w:p w:rsidR="00000000" w:rsidRPr="00FE0E2F" w:rsidP="00FE0E2F">
      <w:pPr>
        <w:pStyle w:val="ListBullet2"/>
      </w:pPr>
      <w:r w:rsidRPr="00FE0E2F">
        <w:t>ornamental stone components</w:t>
      </w:r>
    </w:p>
    <w:p w:rsidR="00000000" w:rsidRPr="00FE0E2F" w:rsidP="00FE0E2F">
      <w:pPr>
        <w:pStyle w:val="ListBullet"/>
      </w:pPr>
      <w:r w:rsidRPr="00FE0E2F">
        <w:t xml:space="preserve">characteristics, applications and limitations of stonemasonry materials </w:t>
      </w:r>
    </w:p>
    <w:p w:rsidR="00000000" w:rsidRPr="00FE0E2F" w:rsidP="00FE0E2F">
      <w:pPr>
        <w:pStyle w:val="ListBullet"/>
      </w:pPr>
      <w:r w:rsidRPr="00FE0E2F">
        <w:t xml:space="preserve">workplace processes and procedures </w:t>
      </w:r>
    </w:p>
    <w:p w:rsidR="00000000" w:rsidRPr="00FE0E2F" w:rsidP="00FE0E2F">
      <w:pPr>
        <w:pStyle w:val="ListBullet"/>
      </w:pPr>
      <w:r w:rsidRPr="00FE0E2F">
        <w:t>workplace safety</w:t>
      </w:r>
    </w:p>
    <w:p w:rsidR="00000000" w:rsidRPr="00FE0E2F" w:rsidP="00FE0E2F">
      <w:pPr>
        <w:pStyle w:val="ListBullet"/>
      </w:pPr>
      <w:r w:rsidRPr="00FE0E2F">
        <w:t>heritage principles relating to the Burra Charter</w:t>
      </w:r>
    </w:p>
    <w:p w:rsidR="00000000" w:rsidRPr="00FE0E2F" w:rsidP="00FE0E2F">
      <w:pPr>
        <w:pStyle w:val="ListBullet"/>
      </w:pPr>
      <w:r w:rsidRPr="00FE0E2F">
        <w:t>digital technology to operate devices and applicati</w:t>
      </w:r>
      <w:r w:rsidRPr="00FE0E2F">
        <w:t>ons to source information and communicate with others.</w:t>
      </w:r>
    </w:p>
    <w:p w:rsidR="00000000" w:rsidRPr="00FE0E2F" w:rsidP="00FE0E2F">
      <w:pPr>
        <w:pStyle w:val="AllowPageBreak"/>
      </w:pPr>
    </w:p>
    <w:p w:rsidR="00000000" w:rsidRPr="00FE0E2F" w:rsidP="00FE0E2F">
      <w:pPr>
        <w:pStyle w:val="Heading1"/>
      </w:pPr>
      <w:bookmarkStart w:id="4" w:name="O_1296000"/>
      <w:bookmarkEnd w:id="4"/>
      <w:r w:rsidRPr="00FE0E2F">
        <w:t>Assessment Conditions</w:t>
      </w:r>
    </w:p>
    <w:p w:rsidR="00000000" w:rsidRPr="00FE0E2F" w:rsidP="002170B4">
      <w:pPr>
        <w:pStyle w:val="BodyText"/>
      </w:pPr>
      <w:r w:rsidRPr="00FE0E2F">
        <w:t xml:space="preserve">Assessors must meet the requirements for assessors contained in the Standards for Registered Training Organisations. </w:t>
      </w:r>
    </w:p>
    <w:p w:rsidR="00000000" w:rsidRPr="00FE0E2F" w:rsidP="002170B4">
      <w:pPr>
        <w:pStyle w:val="BodyText"/>
      </w:pPr>
      <w:r w:rsidRPr="00FE0E2F">
        <w:t>This unit must be assessed in the workplace or a close simulation reflecting workplace conditions and standards, materials, equipment, activities, responsibilities, procedures, safety requirements and environmental considerations.</w:t>
      </w:r>
    </w:p>
    <w:p w:rsidR="00000000" w:rsidRPr="00FE0E2F" w:rsidP="00FE0E2F">
      <w:pPr>
        <w:pStyle w:val="Heading1"/>
      </w:pPr>
      <w:bookmarkStart w:id="5" w:name="O_1296013"/>
      <w:bookmarkEnd w:id="5"/>
      <w:r w:rsidRPr="00FE0E2F">
        <w:t>Links</w:t>
      </w:r>
    </w:p>
    <w:p w:rsidR="00000000" w:rsidRPr="00FE0E2F" w:rsidP="002170B4">
      <w:pPr>
        <w:pStyle w:val="BodyText"/>
      </w:pPr>
      <w:r w:rsidRPr="00FE0E2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F267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E0E2F" w:rsidP="00FE0E2F"/>
    <w:sectPr w:rsidSect="00FE0E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E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E2F" w:rsidRPr="002170B4" w:rsidP="002170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E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0B4" w:rsidP="00FE0E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70B4" w:rsidP="00FE0E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170B4" w:rsidP="00FE0E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E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0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0E2F" w:rsidRPr="002170B4" w:rsidP="002170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E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0B4" w:rsidRPr="002D2AF8" w:rsidP="00FE0E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CPCCST3023 Apply drawing principles to stonemasonry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170B4" w:rsidP="00FE0E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D64E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9482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8AFD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E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0E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0E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0E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0E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0E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0E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0E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0E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0E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0E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0E2F"/>
  </w:style>
  <w:style w:type="character" w:customStyle="1" w:styleId="Heading1Char">
    <w:name w:val="Heading 1 Char"/>
    <w:basedOn w:val="DefaultParagraphFont"/>
    <w:link w:val="Heading1"/>
    <w:rsid w:val="00FE0E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0E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0E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0E2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E0E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0E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0E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0E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0E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0E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0E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0E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0E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0E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0E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0E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0E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0E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0E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0E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0E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0E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0E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0E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0E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0E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0E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0E2F"/>
    <w:rPr>
      <w:b/>
      <w:spacing w:val="0"/>
    </w:rPr>
  </w:style>
  <w:style w:type="paragraph" w:customStyle="1" w:styleId="SuperTitle">
    <w:name w:val="SuperTitle"/>
    <w:basedOn w:val="Title"/>
    <w:rsid w:val="00FE0E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0E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0E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0E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0E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0E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0E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0E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0E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0E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0E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0E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0E2F"/>
    <w:rPr>
      <w:i/>
    </w:rPr>
  </w:style>
  <w:style w:type="paragraph" w:styleId="Caption">
    <w:name w:val="caption"/>
    <w:basedOn w:val="BodyText"/>
    <w:next w:val="Normal"/>
    <w:qFormat/>
    <w:rsid w:val="00FE0E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0E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0E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0E2F"/>
  </w:style>
  <w:style w:type="paragraph" w:styleId="TableofFigures">
    <w:name w:val="table of figures"/>
    <w:basedOn w:val="Normal"/>
    <w:next w:val="Normal"/>
    <w:semiHidden/>
    <w:rsid w:val="00FE0E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0E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0E2F"/>
    <w:rPr>
      <w:rFonts w:ascii="Wingdings" w:hAnsi="Wingdings"/>
    </w:rPr>
  </w:style>
  <w:style w:type="paragraph" w:customStyle="1" w:styleId="TableHeading">
    <w:name w:val="Table Heading"/>
    <w:basedOn w:val="HeadingBase"/>
    <w:rsid w:val="00FE0E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0E2F"/>
    <w:rPr>
      <w:color w:val="0033CC"/>
      <w:u w:val="none"/>
    </w:rPr>
  </w:style>
  <w:style w:type="paragraph" w:customStyle="1" w:styleId="BodyTextRight">
    <w:name w:val="Body Text Right"/>
    <w:basedOn w:val="BodyText"/>
    <w:rsid w:val="00FE0E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0E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0E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0E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0E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0E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0E2F"/>
    <w:rPr>
      <w:sz w:val="32"/>
    </w:rPr>
  </w:style>
  <w:style w:type="paragraph" w:customStyle="1" w:styleId="HeadingProcedure">
    <w:name w:val="Heading Procedure"/>
    <w:basedOn w:val="HeadingBase"/>
    <w:next w:val="Normal"/>
    <w:rsid w:val="00FE0E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0E2F"/>
    <w:pPr>
      <w:spacing w:before="60" w:after="60"/>
    </w:pPr>
  </w:style>
  <w:style w:type="paragraph" w:styleId="ListContinue">
    <w:name w:val="List Continue"/>
    <w:basedOn w:val="List"/>
    <w:rsid w:val="00FE0E2F"/>
    <w:pPr>
      <w:ind w:firstLine="0"/>
    </w:pPr>
  </w:style>
  <w:style w:type="paragraph" w:customStyle="1" w:styleId="ListNote">
    <w:name w:val="List Note"/>
    <w:basedOn w:val="List"/>
    <w:rsid w:val="00FE0E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0E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0E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0E2F"/>
    <w:rPr>
      <w:rFonts w:ascii="Courier New" w:hAnsi="Courier New"/>
    </w:rPr>
  </w:style>
  <w:style w:type="paragraph" w:customStyle="1" w:styleId="NoteBullet">
    <w:name w:val="Note Bullet"/>
    <w:basedOn w:val="Note"/>
    <w:rsid w:val="00FE0E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0E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0E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0E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0E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0E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0E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0E2F"/>
    <w:rPr>
      <w:b/>
      <w:smallCaps/>
    </w:rPr>
  </w:style>
  <w:style w:type="paragraph" w:customStyle="1" w:styleId="TableListNumber">
    <w:name w:val="Table List Number"/>
    <w:basedOn w:val="ListNumber"/>
    <w:rsid w:val="00FE0E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0E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0E2F"/>
    <w:pPr>
      <w:numPr>
        <w:numId w:val="9"/>
      </w:numPr>
    </w:pPr>
  </w:style>
  <w:style w:type="paragraph" w:customStyle="1" w:styleId="ListAlpha2">
    <w:name w:val="List Alpha 2"/>
    <w:basedOn w:val="List2"/>
    <w:rsid w:val="00FE0E2F"/>
    <w:pPr>
      <w:numPr>
        <w:numId w:val="8"/>
      </w:numPr>
    </w:pPr>
  </w:style>
  <w:style w:type="paragraph" w:styleId="List2">
    <w:name w:val="List 2"/>
    <w:basedOn w:val="BodyText"/>
    <w:rsid w:val="00FE0E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0E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0E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0E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0E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0E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0E2F"/>
    <w:pPr>
      <w:numPr>
        <w:numId w:val="4"/>
      </w:numPr>
    </w:pPr>
  </w:style>
  <w:style w:type="paragraph" w:styleId="ListContinue2">
    <w:name w:val="List Continue 2"/>
    <w:basedOn w:val="List2"/>
    <w:rsid w:val="00FE0E2F"/>
    <w:pPr>
      <w:ind w:firstLine="0"/>
    </w:pPr>
  </w:style>
  <w:style w:type="paragraph" w:styleId="ListContinue3">
    <w:name w:val="List Continue 3"/>
    <w:basedOn w:val="List3"/>
    <w:rsid w:val="00FE0E2F"/>
    <w:pPr>
      <w:ind w:left="1021" w:firstLine="0"/>
    </w:pPr>
  </w:style>
  <w:style w:type="paragraph" w:styleId="ListContinue4">
    <w:name w:val="List Continue 4"/>
    <w:basedOn w:val="List4"/>
    <w:rsid w:val="00FE0E2F"/>
    <w:pPr>
      <w:ind w:firstLine="0"/>
    </w:pPr>
  </w:style>
  <w:style w:type="paragraph" w:styleId="ListContinue5">
    <w:name w:val="List Continue 5"/>
    <w:basedOn w:val="List5"/>
    <w:rsid w:val="00FE0E2F"/>
    <w:pPr>
      <w:ind w:firstLine="0"/>
    </w:pPr>
  </w:style>
  <w:style w:type="paragraph" w:styleId="ListNumber3">
    <w:name w:val="List Number 3"/>
    <w:basedOn w:val="List3"/>
    <w:rsid w:val="00FE0E2F"/>
    <w:pPr>
      <w:numPr>
        <w:numId w:val="5"/>
      </w:numPr>
    </w:pPr>
  </w:style>
  <w:style w:type="paragraph" w:styleId="ListNumber4">
    <w:name w:val="List Number 4"/>
    <w:basedOn w:val="List4"/>
    <w:rsid w:val="00FE0E2F"/>
    <w:pPr>
      <w:numPr>
        <w:numId w:val="6"/>
      </w:numPr>
    </w:pPr>
  </w:style>
  <w:style w:type="paragraph" w:styleId="ListNumber5">
    <w:name w:val="List Number 5"/>
    <w:basedOn w:val="List5"/>
    <w:rsid w:val="00FE0E2F"/>
    <w:pPr>
      <w:numPr>
        <w:numId w:val="7"/>
      </w:numPr>
    </w:pPr>
  </w:style>
  <w:style w:type="paragraph" w:styleId="BlockText">
    <w:name w:val="Block Text"/>
    <w:basedOn w:val="Normal"/>
    <w:rsid w:val="00FE0E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0E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0E2F"/>
    <w:rPr>
      <w:sz w:val="16"/>
      <w:vertAlign w:val="superscript"/>
    </w:rPr>
  </w:style>
  <w:style w:type="character" w:customStyle="1" w:styleId="Symbols">
    <w:name w:val="Symbols"/>
    <w:basedOn w:val="DefaultParagraphFont"/>
    <w:rsid w:val="00FE0E2F"/>
    <w:rPr>
      <w:rFonts w:ascii="Symbol" w:hAnsi="Symbol"/>
    </w:rPr>
  </w:style>
  <w:style w:type="character" w:customStyle="1" w:styleId="MenuOptions">
    <w:name w:val="Menu Options"/>
    <w:basedOn w:val="DefaultParagraphFont"/>
    <w:rsid w:val="00FE0E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0E2F"/>
    <w:rPr>
      <w:b/>
    </w:rPr>
  </w:style>
  <w:style w:type="character" w:customStyle="1" w:styleId="Underlined">
    <w:name w:val="Underlined"/>
    <w:basedOn w:val="DefaultParagraphFont"/>
    <w:rsid w:val="00FE0E2F"/>
    <w:rPr>
      <w:u w:val="single"/>
    </w:rPr>
  </w:style>
  <w:style w:type="paragraph" w:customStyle="1" w:styleId="TableBodyTextRight">
    <w:name w:val="Table Body Text Right"/>
    <w:basedOn w:val="TableBodyText"/>
    <w:rsid w:val="00FE0E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0E2F"/>
    <w:rPr>
      <w:sz w:val="18"/>
    </w:rPr>
  </w:style>
  <w:style w:type="paragraph" w:customStyle="1" w:styleId="BodySmallRight">
    <w:name w:val="Body Small Right"/>
    <w:basedOn w:val="BodyTextRight"/>
    <w:rsid w:val="00FE0E2F"/>
    <w:rPr>
      <w:sz w:val="18"/>
      <w:szCs w:val="18"/>
    </w:rPr>
  </w:style>
  <w:style w:type="paragraph" w:customStyle="1" w:styleId="MarginEdition">
    <w:name w:val="Margin Edition"/>
    <w:basedOn w:val="MarginNote"/>
    <w:rsid w:val="00FE0E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0E2F"/>
    <w:rPr>
      <w:sz w:val="2"/>
      <w:szCs w:val="2"/>
    </w:rPr>
  </w:style>
  <w:style w:type="character" w:customStyle="1" w:styleId="Small">
    <w:name w:val="Small"/>
    <w:basedOn w:val="DefaultParagraphFont"/>
    <w:rsid w:val="00FE0E2F"/>
    <w:rPr>
      <w:sz w:val="16"/>
    </w:rPr>
  </w:style>
  <w:style w:type="paragraph" w:customStyle="1" w:styleId="WideTable">
    <w:name w:val="Wide Table"/>
    <w:basedOn w:val="Normal"/>
    <w:rsid w:val="00FE0E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0E2F"/>
  </w:style>
  <w:style w:type="paragraph" w:styleId="Quote">
    <w:name w:val="Quote"/>
    <w:basedOn w:val="Heading1"/>
    <w:link w:val="QuoteChar"/>
    <w:qFormat/>
    <w:rsid w:val="00FE0E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0E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0E2F"/>
    <w:pPr>
      <w:pageBreakBefore/>
    </w:pPr>
  </w:style>
  <w:style w:type="paragraph" w:customStyle="1" w:styleId="Border">
    <w:name w:val="Border"/>
    <w:basedOn w:val="Normal"/>
    <w:qFormat/>
    <w:rsid w:val="00FE0E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0E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E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E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0E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0E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0E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0E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0E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0E2F"/>
    <w:rPr>
      <w:u w:val="single"/>
    </w:rPr>
  </w:style>
  <w:style w:type="character" w:customStyle="1" w:styleId="BoldandItalics">
    <w:name w:val="Bold and Italics"/>
    <w:qFormat/>
    <w:rsid w:val="00FE0E2F"/>
    <w:rPr>
      <w:b/>
      <w:i/>
      <w:u w:val="none"/>
    </w:rPr>
  </w:style>
  <w:style w:type="paragraph" w:styleId="BalloonText">
    <w:name w:val="Balloon Text"/>
    <w:basedOn w:val="Normal"/>
    <w:link w:val="BalloonTextChar"/>
    <w:rsid w:val="00FE0E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0E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0E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0E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0E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0E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0E2F"/>
    <w:pPr>
      <w:spacing w:before="0" w:after="0"/>
    </w:pPr>
  </w:style>
  <w:style w:type="paragraph" w:customStyle="1" w:styleId="BodyTextBold">
    <w:name w:val="Body Text Bold"/>
    <w:basedOn w:val="BodyText"/>
    <w:qFormat/>
    <w:rsid w:val="00FE0E2F"/>
    <w:rPr>
      <w:b/>
    </w:rPr>
  </w:style>
  <w:style w:type="character" w:styleId="Hyperlink">
    <w:name w:val="Hyperlink"/>
    <w:basedOn w:val="DefaultParagraphFont"/>
    <w:uiPriority w:val="99"/>
    <w:unhideWhenUsed/>
    <w:rsid w:val="002170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349</Words>
  <Characters>2342</Characters>
  <Application>Microsoft Office Word</Application>
  <DocSecurity>0</DocSecurity>
  <Lines>78</Lines>
  <Paragraphs>65</Paragraphs>
  <ScaleCrop>false</ScaleCrop>
  <Company>Author-it Software Corporation Ltd.</Company>
  <LinksUpToDate>false</LinksUpToDate>
  <CharactersWithSpaces>2626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CPCCST3023 Apply drawing principles to stonemasonry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2024-12-24T00:58:00Z</dcterms:created>
  <dcterms:modified xsi:type="dcterms:W3CDTF">2024-12-24T00:58:00Z</dcterms:modified>
</cp:coreProperties>
</file>