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A8C" w:rsidP="00FF6A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CPCCST3018 Inlay lead to stone</w:t>
      </w:r>
      <w:r>
        <w:fldChar w:fldCharType="end"/>
      </w:r>
    </w:p>
    <w:p w:rsidR="00FF6A8C" w:rsidP="00FF6A8C">
      <w:pPr>
        <w:pStyle w:val="Version"/>
        <w:sectPr w:rsidSect="00B01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15CA" w:rsidP="00B015CA">
      <w:pPr>
        <w:pStyle w:val="SuperHeading"/>
      </w:pPr>
      <w:r w:rsidRPr="00B015CA">
        <w:t>Assessment Requirements for CPCCST3018 Inlay lead to stone</w:t>
      </w:r>
    </w:p>
    <w:p w:rsidR="00000000" w:rsidRPr="00B015CA" w:rsidP="00B015CA">
      <w:pPr>
        <w:pStyle w:val="Heading1"/>
      </w:pPr>
      <w:bookmarkStart w:id="1" w:name="O_1295923"/>
      <w:bookmarkEnd w:id="1"/>
      <w:r w:rsidRPr="00B015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1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CA">
            <w:pPr>
              <w:pStyle w:val="BodyText"/>
              <w:rPr>
                <w:lang w:val="en-NZ"/>
              </w:rPr>
            </w:pPr>
            <w:r w:rsidRPr="00B015C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CA">
            <w:pPr>
              <w:pStyle w:val="BodyText"/>
              <w:rPr>
                <w:lang w:val="en-NZ"/>
              </w:rPr>
            </w:pPr>
            <w:r w:rsidRPr="00B015CA">
              <w:t>Updated reference to general construction induction training program.</w:t>
            </w:r>
          </w:p>
        </w:tc>
      </w:tr>
      <w:tr w:rsidTr="00B01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5CA">
            <w:pPr>
              <w:pStyle w:val="BodyText"/>
              <w:rPr>
                <w:lang w:val="en-NZ"/>
              </w:rPr>
            </w:pPr>
            <w:r w:rsidRPr="00B015C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5CA" w:rsidP="00B015CA">
            <w:pPr>
              <w:pStyle w:val="BodyText"/>
            </w:pPr>
            <w:r w:rsidRPr="00B015CA">
              <w:t>This version first released with CPC Construction, Plumbing and Services Training Package Release 5.0.</w:t>
            </w:r>
          </w:p>
          <w:p w:rsidR="00000000" w:rsidRPr="00B015CA" w:rsidP="00B015CA">
            <w:pPr>
              <w:pStyle w:val="BodyText"/>
            </w:pPr>
            <w:r w:rsidRPr="00B015CA">
              <w:t>Supersedes and is equiv</w:t>
            </w:r>
            <w:r w:rsidRPr="00B015CA">
              <w:t>alent to CPCCST3018A Inlay lead to stone.  Updated to meet the Standards for Training Packages 2012.</w:t>
            </w:r>
          </w:p>
        </w:tc>
      </w:tr>
    </w:tbl>
    <w:p w:rsidR="00000000" w:rsidRPr="00B015CA" w:rsidP="00B015CA">
      <w:pPr>
        <w:pStyle w:val="BodyText"/>
      </w:pPr>
    </w:p>
    <w:p w:rsidR="00000000" w:rsidRPr="00B015CA" w:rsidP="00B015CA">
      <w:pPr>
        <w:pStyle w:val="AllowPageBreak"/>
      </w:pPr>
    </w:p>
    <w:p w:rsidR="00000000" w:rsidRPr="00B015CA" w:rsidP="00B015CA">
      <w:pPr>
        <w:pStyle w:val="Heading1"/>
      </w:pPr>
      <w:bookmarkStart w:id="2" w:name="O_1295922"/>
      <w:bookmarkEnd w:id="2"/>
      <w:r w:rsidRPr="00B015CA">
        <w:t>Performance Evidence</w:t>
      </w:r>
    </w:p>
    <w:p w:rsidR="00000000" w:rsidRPr="00B015CA" w:rsidP="00FF6A8C">
      <w:pPr>
        <w:pStyle w:val="BodyText"/>
      </w:pPr>
      <w:r w:rsidRPr="00B015CA">
        <w:t>To demonstrate competency in this unit, a candidate must meet the performance criteria of this unit by inlaying l</w:t>
      </w:r>
      <w:r w:rsidRPr="00B015CA">
        <w:t xml:space="preserve">ead into stone. </w:t>
      </w:r>
    </w:p>
    <w:p w:rsidR="00000000" w:rsidRPr="00B015CA" w:rsidP="00FF6A8C">
      <w:pPr>
        <w:pStyle w:val="BodyText"/>
      </w:pPr>
      <w:r w:rsidRPr="00B015CA">
        <w:t>In doing this, the candidate must inlay lead into:</w:t>
      </w:r>
    </w:p>
    <w:p w:rsidR="00000000" w:rsidRPr="00B015CA" w:rsidP="00B015CA">
      <w:pPr>
        <w:pStyle w:val="ListBullet"/>
      </w:pPr>
      <w:r w:rsidRPr="00B015CA">
        <w:t>one logo or insignia with a minimum size of 150 mm x 150 mm</w:t>
      </w:r>
    </w:p>
    <w:p w:rsidR="00000000" w:rsidRPr="00B015CA" w:rsidP="00B015CA">
      <w:pPr>
        <w:pStyle w:val="ListBullet"/>
      </w:pPr>
      <w:r w:rsidRPr="00B015CA">
        <w:t>a minimum of five letters or numbers with a minimum size of 60 mm.</w:t>
      </w:r>
    </w:p>
    <w:p w:rsidR="00000000" w:rsidRPr="00B015CA" w:rsidP="00B015CA">
      <w:pPr>
        <w:pStyle w:val="AllowPageBreak"/>
      </w:pPr>
    </w:p>
    <w:p w:rsidR="00000000" w:rsidRPr="00B015CA" w:rsidP="00B015CA">
      <w:pPr>
        <w:pStyle w:val="Heading1"/>
      </w:pPr>
      <w:bookmarkStart w:id="3" w:name="O_1295921"/>
      <w:bookmarkEnd w:id="3"/>
      <w:r w:rsidRPr="00B015CA">
        <w:t>Knowledge Evidence</w:t>
      </w:r>
    </w:p>
    <w:p w:rsidR="00000000" w:rsidRPr="00B015CA" w:rsidP="00FF6A8C">
      <w:pPr>
        <w:pStyle w:val="BodyText"/>
      </w:pPr>
      <w:r w:rsidRPr="00B015CA">
        <w:t>To be competent in this unit, a person must demonstrate knowledge of:</w:t>
      </w:r>
    </w:p>
    <w:p w:rsidR="00000000" w:rsidRPr="00B015CA" w:rsidP="00B015CA">
      <w:pPr>
        <w:pStyle w:val="ListBullet"/>
      </w:pPr>
      <w:r w:rsidRPr="00B015CA">
        <w:t xml:space="preserve">characteristics, applications and limitations of materials for inlaying lead to stone </w:t>
      </w:r>
    </w:p>
    <w:p w:rsidR="00000000" w:rsidRPr="00B015CA" w:rsidP="00B015CA">
      <w:pPr>
        <w:pStyle w:val="ListBullet"/>
      </w:pPr>
      <w:r w:rsidRPr="00B015CA">
        <w:t xml:space="preserve">types of natural and manufactured stone </w:t>
      </w:r>
    </w:p>
    <w:p w:rsidR="00000000" w:rsidRPr="00B015CA" w:rsidP="00B015CA">
      <w:pPr>
        <w:pStyle w:val="ListBullet"/>
      </w:pPr>
      <w:r w:rsidRPr="00B015CA">
        <w:t>processes and techniques for inlaying lead</w:t>
      </w:r>
    </w:p>
    <w:p w:rsidR="00000000" w:rsidRPr="00B015CA" w:rsidP="00B015CA">
      <w:pPr>
        <w:pStyle w:val="ListBullet"/>
      </w:pPr>
      <w:r w:rsidRPr="00B015CA">
        <w:t>functional and</w:t>
      </w:r>
      <w:r w:rsidRPr="00B015CA">
        <w:t xml:space="preserve"> operational features of equipment and tools used for inlaying lead:</w:t>
      </w:r>
    </w:p>
    <w:p w:rsidR="00000000" w:rsidRPr="00B015CA" w:rsidP="00B015CA">
      <w:pPr>
        <w:pStyle w:val="ListBullet2"/>
      </w:pPr>
      <w:r w:rsidRPr="00B015CA">
        <w:t>gelatine</w:t>
      </w:r>
    </w:p>
    <w:p w:rsidR="00000000" w:rsidRPr="00B015CA" w:rsidP="00B015CA">
      <w:pPr>
        <w:pStyle w:val="ListBullet2"/>
      </w:pPr>
      <w:r w:rsidRPr="00B015CA">
        <w:t>masonry drills</w:t>
      </w:r>
    </w:p>
    <w:p w:rsidR="00000000" w:rsidRPr="00B015CA" w:rsidP="00B015CA">
      <w:pPr>
        <w:pStyle w:val="ListBullet2"/>
      </w:pPr>
      <w:r w:rsidRPr="00B015CA">
        <w:t>pneumatic lettering chisels</w:t>
      </w:r>
    </w:p>
    <w:p w:rsidR="00000000" w:rsidRPr="00B015CA" w:rsidP="00B015CA">
      <w:pPr>
        <w:pStyle w:val="ListBullet2"/>
      </w:pPr>
      <w:r w:rsidRPr="00B015CA">
        <w:t>power grinders</w:t>
      </w:r>
    </w:p>
    <w:p w:rsidR="00000000" w:rsidRPr="00B015CA" w:rsidP="00B015CA">
      <w:pPr>
        <w:pStyle w:val="ListBullet2"/>
      </w:pPr>
      <w:r w:rsidRPr="00B015CA">
        <w:t>battery operated tools</w:t>
      </w:r>
    </w:p>
    <w:p w:rsidR="00000000" w:rsidRPr="00B015CA" w:rsidP="00B015CA">
      <w:pPr>
        <w:pStyle w:val="ListBullet"/>
      </w:pPr>
      <w:r w:rsidRPr="00B015CA">
        <w:t>workplace policies and procedures</w:t>
      </w:r>
    </w:p>
    <w:p w:rsidR="00000000" w:rsidRPr="00B015CA" w:rsidP="00B015CA">
      <w:pPr>
        <w:pStyle w:val="ListBullet"/>
      </w:pPr>
      <w:r w:rsidRPr="00B015CA">
        <w:t>workplace safety:</w:t>
      </w:r>
    </w:p>
    <w:p w:rsidR="00000000" w:rsidRPr="00B015CA" w:rsidP="00B015CA">
      <w:pPr>
        <w:pStyle w:val="ListBullet2"/>
      </w:pPr>
      <w:r w:rsidRPr="00B015CA">
        <w:t>effects of lead on humans</w:t>
      </w:r>
    </w:p>
    <w:p w:rsidR="00000000" w:rsidRPr="00B015CA" w:rsidP="00B015CA">
      <w:pPr>
        <w:pStyle w:val="ListBullet2"/>
      </w:pPr>
      <w:r w:rsidRPr="00B015CA">
        <w:t>exposure to lead products</w:t>
      </w:r>
    </w:p>
    <w:p w:rsidR="00000000" w:rsidRPr="00B015CA" w:rsidP="00B015CA">
      <w:pPr>
        <w:pStyle w:val="ListBullet2"/>
      </w:pPr>
      <w:r w:rsidRPr="00B015CA">
        <w:t>safety data sheet (SDS)</w:t>
      </w:r>
    </w:p>
    <w:p w:rsidR="00000000" w:rsidRPr="00B015CA" w:rsidP="00B015CA">
      <w:pPr>
        <w:pStyle w:val="ListBullet2"/>
      </w:pPr>
      <w:r w:rsidRPr="00B015CA">
        <w:t>respiratory protective devices</w:t>
      </w:r>
    </w:p>
    <w:p w:rsidR="00000000" w:rsidRPr="00B015CA" w:rsidP="00B015CA">
      <w:pPr>
        <w:pStyle w:val="ListBullet2"/>
      </w:pPr>
      <w:r w:rsidRPr="00B015CA">
        <w:t>job safety and environmental analysis (JSEA)</w:t>
      </w:r>
    </w:p>
    <w:p w:rsidR="00000000" w:rsidRPr="00B015CA" w:rsidP="00B015CA">
      <w:pPr>
        <w:pStyle w:val="ListBullet2"/>
      </w:pPr>
      <w:r w:rsidRPr="00B015CA">
        <w:t>exposure to silica</w:t>
      </w:r>
    </w:p>
    <w:p w:rsidR="00000000" w:rsidRPr="00B015CA" w:rsidP="00B015CA">
      <w:pPr>
        <w:pStyle w:val="ListBullet2"/>
      </w:pPr>
      <w:r w:rsidRPr="00B015CA">
        <w:t>hazardous substances</w:t>
      </w:r>
    </w:p>
    <w:p w:rsidR="00000000" w:rsidRPr="00B015CA" w:rsidP="00B015CA">
      <w:pPr>
        <w:pStyle w:val="ListBullet2"/>
      </w:pPr>
      <w:r w:rsidRPr="00B015CA">
        <w:t>exposure to excessive noise</w:t>
      </w:r>
    </w:p>
    <w:p w:rsidR="00000000" w:rsidRPr="00B015CA" w:rsidP="00B015CA">
      <w:pPr>
        <w:pStyle w:val="ListBullet"/>
      </w:pPr>
      <w:r w:rsidRPr="00B015CA">
        <w:t xml:space="preserve">environmental requirements for workplace processes and waste </w:t>
      </w:r>
      <w:r w:rsidRPr="00B015CA">
        <w:t>disposal</w:t>
      </w:r>
    </w:p>
    <w:p w:rsidR="00000000" w:rsidRPr="00B015CA" w:rsidP="00B015CA">
      <w:pPr>
        <w:pStyle w:val="ListBullet"/>
      </w:pPr>
      <w:r w:rsidRPr="00B015CA">
        <w:t>Australian Standards and codes for stonemasonry and handling lead</w:t>
      </w:r>
    </w:p>
    <w:p w:rsidR="00000000" w:rsidRPr="00B015CA" w:rsidP="00B015CA">
      <w:pPr>
        <w:pStyle w:val="ListBullet"/>
      </w:pPr>
      <w:r w:rsidRPr="00B015CA">
        <w:t>digital technologies to source information and communicate with others.</w:t>
      </w:r>
    </w:p>
    <w:p w:rsidR="00000000" w:rsidRPr="00B015CA" w:rsidP="00B015CA">
      <w:pPr>
        <w:pStyle w:val="AllowPageBreak"/>
      </w:pPr>
    </w:p>
    <w:p w:rsidR="00000000" w:rsidRPr="00B015CA" w:rsidP="00B015CA">
      <w:pPr>
        <w:pStyle w:val="Heading1"/>
      </w:pPr>
      <w:bookmarkStart w:id="4" w:name="O_1295920"/>
      <w:bookmarkEnd w:id="4"/>
      <w:r w:rsidRPr="00B015CA">
        <w:t>Assessment Conditions</w:t>
      </w:r>
    </w:p>
    <w:p w:rsidR="00000000" w:rsidRPr="00B015CA" w:rsidP="00FF6A8C">
      <w:pPr>
        <w:pStyle w:val="BodyText"/>
      </w:pPr>
      <w:r w:rsidRPr="00B015CA">
        <w:t xml:space="preserve">Assessors must meet the requirements for assessors contained in the Standards for Registered Training Organisations. </w:t>
      </w:r>
    </w:p>
    <w:p w:rsidR="00000000" w:rsidRPr="00B015CA" w:rsidP="00FF6A8C">
      <w:pPr>
        <w:pStyle w:val="BodyText"/>
      </w:pPr>
      <w:r w:rsidRPr="00B015CA">
        <w:t>This unit must be assessed in the workplace or a close simulation reflecting workplace conditions and standards, materials, equipment, act</w:t>
      </w:r>
      <w:r w:rsidRPr="00B015CA">
        <w:t>ivities, responsibilities, procedures, safety requirements and environmental considerations.</w:t>
      </w:r>
    </w:p>
    <w:p w:rsidR="00000000" w:rsidRPr="00B015CA" w:rsidP="00B015CA">
      <w:pPr>
        <w:pStyle w:val="Heading1"/>
      </w:pPr>
      <w:bookmarkStart w:id="5" w:name="O_1295933"/>
      <w:bookmarkEnd w:id="5"/>
      <w:r w:rsidRPr="00B015CA">
        <w:t>Links</w:t>
      </w:r>
    </w:p>
    <w:p w:rsidR="00000000" w:rsidRPr="00B015CA" w:rsidP="00FF6A8C">
      <w:pPr>
        <w:pStyle w:val="BodyText"/>
      </w:pPr>
      <w:r w:rsidRPr="00B015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D71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015CA" w:rsidP="00B015CA"/>
    <w:sectPr w:rsidSect="00B015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CA" w:rsidRPr="00FF6A8C" w:rsidP="00FF6A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8C" w:rsidP="00B01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6A8C" w:rsidP="00B01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6A8C" w:rsidP="00B01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5CA" w:rsidRPr="00FF6A8C" w:rsidP="00FF6A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A8C" w:rsidRPr="002D2AF8" w:rsidP="00B01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CPCCST3018 Inlay lead to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F6A8C" w:rsidP="00B01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4CE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00C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CC0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5CA"/>
  </w:style>
  <w:style w:type="character" w:customStyle="1" w:styleId="Heading1Char">
    <w:name w:val="Heading 1 Char"/>
    <w:basedOn w:val="DefaultParagraphFont"/>
    <w:link w:val="Heading1"/>
    <w:rsid w:val="00B01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5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15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1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15CA"/>
    <w:rPr>
      <w:b/>
      <w:spacing w:val="0"/>
    </w:rPr>
  </w:style>
  <w:style w:type="paragraph" w:customStyle="1" w:styleId="SuperTitle">
    <w:name w:val="SuperTitle"/>
    <w:basedOn w:val="Title"/>
    <w:rsid w:val="00B01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1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5CA"/>
    <w:rPr>
      <w:i/>
    </w:rPr>
  </w:style>
  <w:style w:type="paragraph" w:styleId="Caption">
    <w:name w:val="caption"/>
    <w:basedOn w:val="BodyText"/>
    <w:next w:val="Normal"/>
    <w:qFormat/>
    <w:rsid w:val="00B01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5CA"/>
  </w:style>
  <w:style w:type="paragraph" w:styleId="TableofFigures">
    <w:name w:val="table of figures"/>
    <w:basedOn w:val="Normal"/>
    <w:next w:val="Normal"/>
    <w:semiHidden/>
    <w:rsid w:val="00B01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5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15CA"/>
    <w:rPr>
      <w:rFonts w:ascii="Wingdings" w:hAnsi="Wingdings"/>
    </w:rPr>
  </w:style>
  <w:style w:type="paragraph" w:customStyle="1" w:styleId="TableHeading">
    <w:name w:val="Table Heading"/>
    <w:basedOn w:val="HeadingBase"/>
    <w:rsid w:val="00B01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5CA"/>
    <w:rPr>
      <w:color w:val="0033CC"/>
      <w:u w:val="none"/>
    </w:rPr>
  </w:style>
  <w:style w:type="paragraph" w:customStyle="1" w:styleId="BodyTextRight">
    <w:name w:val="Body Text Right"/>
    <w:basedOn w:val="BodyText"/>
    <w:rsid w:val="00B01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5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5CA"/>
    <w:rPr>
      <w:sz w:val="32"/>
    </w:rPr>
  </w:style>
  <w:style w:type="paragraph" w:customStyle="1" w:styleId="HeadingProcedure">
    <w:name w:val="Heading Procedure"/>
    <w:basedOn w:val="HeadingBase"/>
    <w:next w:val="Normal"/>
    <w:rsid w:val="00B01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5CA"/>
    <w:pPr>
      <w:spacing w:before="60" w:after="60"/>
    </w:pPr>
  </w:style>
  <w:style w:type="paragraph" w:styleId="ListContinue">
    <w:name w:val="List Continue"/>
    <w:basedOn w:val="List"/>
    <w:rsid w:val="00B015CA"/>
    <w:pPr>
      <w:ind w:firstLine="0"/>
    </w:pPr>
  </w:style>
  <w:style w:type="paragraph" w:customStyle="1" w:styleId="ListNote">
    <w:name w:val="List Note"/>
    <w:basedOn w:val="List"/>
    <w:rsid w:val="00B01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5CA"/>
    <w:rPr>
      <w:rFonts w:ascii="Courier New" w:hAnsi="Courier New"/>
    </w:rPr>
  </w:style>
  <w:style w:type="paragraph" w:customStyle="1" w:styleId="NoteBullet">
    <w:name w:val="Note Bullet"/>
    <w:basedOn w:val="Note"/>
    <w:rsid w:val="00B01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5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5CA"/>
    <w:rPr>
      <w:b/>
      <w:smallCaps/>
    </w:rPr>
  </w:style>
  <w:style w:type="paragraph" w:customStyle="1" w:styleId="TableListNumber">
    <w:name w:val="Table List Number"/>
    <w:basedOn w:val="ListNumber"/>
    <w:rsid w:val="00B01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5CA"/>
    <w:pPr>
      <w:numPr>
        <w:numId w:val="9"/>
      </w:numPr>
    </w:pPr>
  </w:style>
  <w:style w:type="paragraph" w:customStyle="1" w:styleId="ListAlpha2">
    <w:name w:val="List Alpha 2"/>
    <w:basedOn w:val="List2"/>
    <w:rsid w:val="00B015CA"/>
    <w:pPr>
      <w:numPr>
        <w:numId w:val="8"/>
      </w:numPr>
    </w:pPr>
  </w:style>
  <w:style w:type="paragraph" w:styleId="List2">
    <w:name w:val="List 2"/>
    <w:basedOn w:val="BodyText"/>
    <w:rsid w:val="00B01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5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5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15CA"/>
    <w:pPr>
      <w:numPr>
        <w:numId w:val="4"/>
      </w:numPr>
    </w:pPr>
  </w:style>
  <w:style w:type="paragraph" w:styleId="ListContinue2">
    <w:name w:val="List Continue 2"/>
    <w:basedOn w:val="List2"/>
    <w:rsid w:val="00B015CA"/>
    <w:pPr>
      <w:ind w:firstLine="0"/>
    </w:pPr>
  </w:style>
  <w:style w:type="paragraph" w:styleId="ListContinue3">
    <w:name w:val="List Continue 3"/>
    <w:basedOn w:val="List3"/>
    <w:rsid w:val="00B015CA"/>
    <w:pPr>
      <w:ind w:left="1021" w:firstLine="0"/>
    </w:pPr>
  </w:style>
  <w:style w:type="paragraph" w:styleId="ListContinue4">
    <w:name w:val="List Continue 4"/>
    <w:basedOn w:val="List4"/>
    <w:rsid w:val="00B015CA"/>
    <w:pPr>
      <w:ind w:firstLine="0"/>
    </w:pPr>
  </w:style>
  <w:style w:type="paragraph" w:styleId="ListContinue5">
    <w:name w:val="List Continue 5"/>
    <w:basedOn w:val="List5"/>
    <w:rsid w:val="00B015CA"/>
    <w:pPr>
      <w:ind w:firstLine="0"/>
    </w:pPr>
  </w:style>
  <w:style w:type="paragraph" w:styleId="ListNumber3">
    <w:name w:val="List Number 3"/>
    <w:basedOn w:val="List3"/>
    <w:rsid w:val="00B015CA"/>
    <w:pPr>
      <w:numPr>
        <w:numId w:val="5"/>
      </w:numPr>
    </w:pPr>
  </w:style>
  <w:style w:type="paragraph" w:styleId="ListNumber4">
    <w:name w:val="List Number 4"/>
    <w:basedOn w:val="List4"/>
    <w:rsid w:val="00B015CA"/>
    <w:pPr>
      <w:numPr>
        <w:numId w:val="6"/>
      </w:numPr>
    </w:pPr>
  </w:style>
  <w:style w:type="paragraph" w:styleId="ListNumber5">
    <w:name w:val="List Number 5"/>
    <w:basedOn w:val="List5"/>
    <w:rsid w:val="00B015CA"/>
    <w:pPr>
      <w:numPr>
        <w:numId w:val="7"/>
      </w:numPr>
    </w:pPr>
  </w:style>
  <w:style w:type="paragraph" w:styleId="BlockText">
    <w:name w:val="Block Text"/>
    <w:basedOn w:val="Normal"/>
    <w:rsid w:val="00B01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5CA"/>
    <w:rPr>
      <w:sz w:val="16"/>
      <w:vertAlign w:val="superscript"/>
    </w:rPr>
  </w:style>
  <w:style w:type="character" w:customStyle="1" w:styleId="Symbols">
    <w:name w:val="Symbols"/>
    <w:basedOn w:val="DefaultParagraphFont"/>
    <w:rsid w:val="00B015CA"/>
    <w:rPr>
      <w:rFonts w:ascii="Symbol" w:hAnsi="Symbol"/>
    </w:rPr>
  </w:style>
  <w:style w:type="character" w:customStyle="1" w:styleId="MenuOptions">
    <w:name w:val="Menu Options"/>
    <w:basedOn w:val="DefaultParagraphFont"/>
    <w:rsid w:val="00B01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5CA"/>
    <w:rPr>
      <w:b/>
    </w:rPr>
  </w:style>
  <w:style w:type="character" w:customStyle="1" w:styleId="Underlined">
    <w:name w:val="Underlined"/>
    <w:basedOn w:val="DefaultParagraphFont"/>
    <w:rsid w:val="00B015CA"/>
    <w:rPr>
      <w:u w:val="single"/>
    </w:rPr>
  </w:style>
  <w:style w:type="paragraph" w:customStyle="1" w:styleId="TableBodyTextRight">
    <w:name w:val="Table Body Text Right"/>
    <w:basedOn w:val="TableBodyText"/>
    <w:rsid w:val="00B01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5CA"/>
    <w:rPr>
      <w:sz w:val="18"/>
    </w:rPr>
  </w:style>
  <w:style w:type="paragraph" w:customStyle="1" w:styleId="BodySmallRight">
    <w:name w:val="Body Small Right"/>
    <w:basedOn w:val="BodyTextRight"/>
    <w:rsid w:val="00B015CA"/>
    <w:rPr>
      <w:sz w:val="18"/>
      <w:szCs w:val="18"/>
    </w:rPr>
  </w:style>
  <w:style w:type="paragraph" w:customStyle="1" w:styleId="MarginEdition">
    <w:name w:val="Margin Edition"/>
    <w:basedOn w:val="MarginNote"/>
    <w:rsid w:val="00B01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5CA"/>
    <w:rPr>
      <w:sz w:val="2"/>
      <w:szCs w:val="2"/>
    </w:rPr>
  </w:style>
  <w:style w:type="character" w:customStyle="1" w:styleId="Small">
    <w:name w:val="Small"/>
    <w:basedOn w:val="DefaultParagraphFont"/>
    <w:rsid w:val="00B015CA"/>
    <w:rPr>
      <w:sz w:val="16"/>
    </w:rPr>
  </w:style>
  <w:style w:type="paragraph" w:customStyle="1" w:styleId="WideTable">
    <w:name w:val="Wide Table"/>
    <w:basedOn w:val="Normal"/>
    <w:rsid w:val="00B01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5CA"/>
  </w:style>
  <w:style w:type="paragraph" w:styleId="Quote">
    <w:name w:val="Quote"/>
    <w:basedOn w:val="Heading1"/>
    <w:link w:val="QuoteChar"/>
    <w:qFormat/>
    <w:rsid w:val="00B01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5CA"/>
    <w:pPr>
      <w:pageBreakBefore/>
    </w:pPr>
  </w:style>
  <w:style w:type="paragraph" w:customStyle="1" w:styleId="Border">
    <w:name w:val="Border"/>
    <w:basedOn w:val="Normal"/>
    <w:qFormat/>
    <w:rsid w:val="00B01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5CA"/>
    <w:rPr>
      <w:u w:val="single"/>
    </w:rPr>
  </w:style>
  <w:style w:type="character" w:customStyle="1" w:styleId="BoldandItalics">
    <w:name w:val="Bold and Italics"/>
    <w:qFormat/>
    <w:rsid w:val="00B015CA"/>
    <w:rPr>
      <w:b/>
      <w:i/>
      <w:u w:val="none"/>
    </w:rPr>
  </w:style>
  <w:style w:type="paragraph" w:styleId="BalloonText">
    <w:name w:val="Balloon Text"/>
    <w:basedOn w:val="Normal"/>
    <w:link w:val="BalloonTextChar"/>
    <w:rsid w:val="00B01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5CA"/>
    <w:pPr>
      <w:spacing w:before="0" w:after="0"/>
    </w:pPr>
  </w:style>
  <w:style w:type="paragraph" w:customStyle="1" w:styleId="BodyTextBold">
    <w:name w:val="Body Text Bold"/>
    <w:basedOn w:val="BodyText"/>
    <w:qFormat/>
    <w:rsid w:val="00B015CA"/>
    <w:rPr>
      <w:b/>
    </w:rPr>
  </w:style>
  <w:style w:type="character" w:styleId="Hyperlink">
    <w:name w:val="Hyperlink"/>
    <w:basedOn w:val="DefaultParagraphFont"/>
    <w:uiPriority w:val="99"/>
    <w:unhideWhenUsed/>
    <w:rsid w:val="00FF6A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2101</Characters>
  <Application>Microsoft Office Word</Application>
  <DocSecurity>0</DocSecurity>
  <Lines>61</Lines>
  <Paragraphs>52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CPCCST3018 Inlay lead to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