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B83" w:rsidP="00D16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CPCCST3016 Build solid stonemasonry walls</w:t>
      </w:r>
      <w:r>
        <w:fldChar w:fldCharType="end"/>
      </w:r>
    </w:p>
    <w:p w:rsidR="00D16B83" w:rsidP="00D16B83">
      <w:pPr>
        <w:pStyle w:val="Version"/>
        <w:sectPr w:rsidSect="00AB7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702B" w:rsidP="00AB702B">
      <w:pPr>
        <w:pStyle w:val="SuperHeading"/>
      </w:pPr>
      <w:r w:rsidRPr="00AB702B">
        <w:t>Assessment Requirements for CPCCST3016 Build solid stonemasonry walls</w:t>
      </w:r>
    </w:p>
    <w:p w:rsidR="00000000" w:rsidRPr="00AB702B" w:rsidP="00AB702B">
      <w:pPr>
        <w:pStyle w:val="Heading1"/>
      </w:pPr>
      <w:bookmarkStart w:id="1" w:name="O_1295891"/>
      <w:bookmarkEnd w:id="1"/>
      <w:r w:rsidRPr="00AB70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B">
            <w:pPr>
              <w:pStyle w:val="BodyText"/>
              <w:rPr>
                <w:lang w:val="en-NZ"/>
              </w:rPr>
            </w:pPr>
            <w:r w:rsidRPr="00AB702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B">
            <w:pPr>
              <w:pStyle w:val="BodyText"/>
              <w:rPr>
                <w:lang w:val="en-NZ"/>
              </w:rPr>
            </w:pPr>
            <w:r w:rsidRPr="00AB702B">
              <w:t>Updated reference to general construction induction training program.</w:t>
            </w:r>
          </w:p>
        </w:tc>
      </w:tr>
      <w:tr w:rsidTr="00AB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B">
            <w:pPr>
              <w:pStyle w:val="BodyText"/>
              <w:rPr>
                <w:lang w:val="en-NZ"/>
              </w:rPr>
            </w:pPr>
            <w:r w:rsidRPr="00AB70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2B" w:rsidP="00AB702B">
            <w:pPr>
              <w:pStyle w:val="BodyText"/>
            </w:pPr>
            <w:r w:rsidRPr="00AB702B">
              <w:t>This version first released with CPC Construction, Plumbing and Services Training Package Release 5.0.</w:t>
            </w:r>
          </w:p>
          <w:p w:rsidR="00000000" w:rsidRPr="00AB702B" w:rsidP="00AB702B">
            <w:pPr>
              <w:pStyle w:val="BodyText"/>
            </w:pPr>
            <w:r w:rsidRPr="00AB702B">
              <w:t>Supersedes and is equivalent to CPCCST3016A Build solid stonemasonry walls.  Updated to meet the Standards for Training Packages 2012.</w:t>
            </w:r>
          </w:p>
        </w:tc>
      </w:tr>
    </w:tbl>
    <w:p w:rsidR="00000000" w:rsidRPr="00AB702B" w:rsidP="00AB702B">
      <w:pPr>
        <w:pStyle w:val="BodyText"/>
      </w:pPr>
    </w:p>
    <w:p w:rsidR="00000000" w:rsidRPr="00AB702B" w:rsidP="00AB702B">
      <w:pPr>
        <w:pStyle w:val="AllowPageBreak"/>
      </w:pPr>
    </w:p>
    <w:p w:rsidR="00000000" w:rsidRPr="00AB702B" w:rsidP="00AB702B">
      <w:pPr>
        <w:pStyle w:val="Heading1"/>
      </w:pPr>
      <w:bookmarkStart w:id="2" w:name="O_1295890"/>
      <w:bookmarkEnd w:id="2"/>
      <w:r w:rsidRPr="00AB702B">
        <w:t>Performance Evidence</w:t>
      </w:r>
    </w:p>
    <w:p w:rsidR="00000000" w:rsidRPr="00AB702B" w:rsidP="00D16B83">
      <w:pPr>
        <w:pStyle w:val="BodyText"/>
      </w:pPr>
      <w:r w:rsidRPr="00AB702B">
        <w:t>To demonstrate competency in this unit, a candidate must meet the performance criteria of this unit by building a minimum 2.1 m long and 2.0 m high solid masonry wall with a minimum of one external or internal corner.</w:t>
      </w:r>
    </w:p>
    <w:p w:rsidR="00000000" w:rsidRPr="00AB702B" w:rsidP="00D16B83">
      <w:pPr>
        <w:pStyle w:val="BodyText"/>
      </w:pPr>
      <w:r w:rsidRPr="00AB702B">
        <w:t>In doing this,</w:t>
      </w:r>
      <w:r w:rsidRPr="00AB702B">
        <w:t xml:space="preserve"> the candidate must:</w:t>
      </w:r>
    </w:p>
    <w:p w:rsidR="00000000" w:rsidRPr="00AB702B" w:rsidP="00AB702B">
      <w:pPr>
        <w:pStyle w:val="ListBullet"/>
      </w:pPr>
      <w:r w:rsidRPr="00AB702B">
        <w:t>set out gauge and bond, window and door opening, flashing, weepholes and ventilation</w:t>
      </w:r>
    </w:p>
    <w:p w:rsidR="00000000" w:rsidRPr="00AB702B" w:rsidP="00AB702B">
      <w:pPr>
        <w:pStyle w:val="ListBullet"/>
      </w:pPr>
      <w:r w:rsidRPr="00AB702B">
        <w:t xml:space="preserve">lay stones level, straight and plumb at corners </w:t>
      </w:r>
    </w:p>
    <w:p w:rsidR="00000000" w:rsidRPr="00AB702B" w:rsidP="00AB702B">
      <w:pPr>
        <w:pStyle w:val="ListBullet"/>
      </w:pPr>
      <w:r w:rsidRPr="00AB702B">
        <w:t xml:space="preserve">install lintels for opening maintaining gauge and bond. </w:t>
      </w:r>
    </w:p>
    <w:p w:rsidR="00000000" w:rsidRPr="00AB702B" w:rsidP="00AB702B">
      <w:pPr>
        <w:pStyle w:val="AllowPageBreak"/>
      </w:pPr>
    </w:p>
    <w:p w:rsidR="00000000" w:rsidRPr="00AB702B" w:rsidP="00AB702B">
      <w:pPr>
        <w:pStyle w:val="Heading1"/>
      </w:pPr>
      <w:bookmarkStart w:id="3" w:name="O_1295889"/>
      <w:bookmarkEnd w:id="3"/>
      <w:r w:rsidRPr="00AB702B">
        <w:t>Knowledge Evidence</w:t>
      </w:r>
    </w:p>
    <w:p w:rsidR="00000000" w:rsidRPr="00AB702B" w:rsidP="00D16B83">
      <w:pPr>
        <w:pStyle w:val="BodyText"/>
      </w:pPr>
      <w:r w:rsidRPr="00AB702B">
        <w:t>To be competent in this unit, a person must demonstrate knowledge of:</w:t>
      </w:r>
    </w:p>
    <w:p w:rsidR="00000000" w:rsidRPr="00AB702B" w:rsidP="00AB702B">
      <w:pPr>
        <w:pStyle w:val="ListBullet"/>
      </w:pPr>
      <w:r w:rsidRPr="00AB702B">
        <w:t xml:space="preserve">characteristics, applications and limitations of materials for building solid masonry walls </w:t>
      </w:r>
    </w:p>
    <w:p w:rsidR="00000000" w:rsidRPr="00AB702B" w:rsidP="00AB702B">
      <w:pPr>
        <w:pStyle w:val="ListBullet"/>
      </w:pPr>
      <w:r w:rsidRPr="00AB702B">
        <w:t>types of natural and manufactured stone used in wall construction:</w:t>
      </w:r>
    </w:p>
    <w:p w:rsidR="00000000" w:rsidRPr="00AB702B" w:rsidP="00AB702B">
      <w:pPr>
        <w:pStyle w:val="ListBullet2"/>
      </w:pPr>
      <w:r w:rsidRPr="00AB702B">
        <w:t>limestone</w:t>
      </w:r>
    </w:p>
    <w:p w:rsidR="00000000" w:rsidRPr="00AB702B" w:rsidP="00AB702B">
      <w:pPr>
        <w:pStyle w:val="ListBullet2"/>
      </w:pPr>
      <w:r w:rsidRPr="00AB702B">
        <w:t>sandstone</w:t>
      </w:r>
    </w:p>
    <w:p w:rsidR="00000000" w:rsidRPr="00AB702B" w:rsidP="00AB702B">
      <w:pPr>
        <w:pStyle w:val="ListBullet2"/>
      </w:pPr>
      <w:r w:rsidRPr="00AB702B">
        <w:t>arti</w:t>
      </w:r>
      <w:r w:rsidRPr="00AB702B">
        <w:t>ficial stone</w:t>
      </w:r>
    </w:p>
    <w:p w:rsidR="00000000" w:rsidRPr="00AB702B" w:rsidP="00AB702B">
      <w:pPr>
        <w:pStyle w:val="ListBullet2"/>
      </w:pPr>
      <w:r w:rsidRPr="00AB702B">
        <w:t>autoclaved aerated concrete (AAC)</w:t>
      </w:r>
    </w:p>
    <w:p w:rsidR="00000000" w:rsidRPr="00AB702B" w:rsidP="00AB702B">
      <w:pPr>
        <w:pStyle w:val="ListBullet"/>
      </w:pPr>
      <w:r w:rsidRPr="00AB702B">
        <w:t>processes and techniques for building stonemasonry walls:</w:t>
      </w:r>
    </w:p>
    <w:p w:rsidR="00000000" w:rsidRPr="00AB702B" w:rsidP="00AB702B">
      <w:pPr>
        <w:pStyle w:val="ListBullet2"/>
      </w:pPr>
      <w:r w:rsidRPr="00AB702B">
        <w:t xml:space="preserve">subfloor, wall and roof construction </w:t>
      </w:r>
    </w:p>
    <w:p w:rsidR="00000000" w:rsidRPr="00AB702B" w:rsidP="00AB702B">
      <w:pPr>
        <w:pStyle w:val="ListBullet2"/>
      </w:pPr>
      <w:r w:rsidRPr="00AB702B">
        <w:t xml:space="preserve">damp proofing, flashing and ventilation </w:t>
      </w:r>
    </w:p>
    <w:p w:rsidR="00000000" w:rsidRPr="00AB702B" w:rsidP="00AB702B">
      <w:pPr>
        <w:pStyle w:val="ListBullet2"/>
      </w:pPr>
      <w:r w:rsidRPr="00AB702B">
        <w:t>tying components</w:t>
      </w:r>
    </w:p>
    <w:p w:rsidR="00000000" w:rsidRPr="00AB702B" w:rsidP="00AB702B">
      <w:pPr>
        <w:pStyle w:val="ListBullet2"/>
      </w:pPr>
      <w:r w:rsidRPr="00AB702B">
        <w:t>lintels and load bearing components</w:t>
      </w:r>
    </w:p>
    <w:p w:rsidR="00000000" w:rsidRPr="00AB702B" w:rsidP="00AB702B">
      <w:pPr>
        <w:pStyle w:val="ListBullet2"/>
      </w:pPr>
      <w:r w:rsidRPr="00AB702B">
        <w:t>gable and eaves construction</w:t>
      </w:r>
    </w:p>
    <w:p w:rsidR="00000000" w:rsidRPr="00AB702B" w:rsidP="00AB702B">
      <w:pPr>
        <w:pStyle w:val="ListBullet"/>
      </w:pPr>
      <w:r w:rsidRPr="00AB702B">
        <w:t>construction terminology relating to laying stone</w:t>
      </w:r>
    </w:p>
    <w:p w:rsidR="00000000" w:rsidRPr="00AB702B" w:rsidP="00AB702B">
      <w:pPr>
        <w:pStyle w:val="ListBullet"/>
      </w:pPr>
      <w:r w:rsidRPr="00AB702B">
        <w:t>mortar ingredients and consistency</w:t>
      </w:r>
    </w:p>
    <w:p w:rsidR="00000000" w:rsidRPr="00AB702B" w:rsidP="00AB702B">
      <w:pPr>
        <w:pStyle w:val="ListBullet"/>
      </w:pPr>
      <w:r w:rsidRPr="00AB702B">
        <w:t>stone bond patterns</w:t>
      </w:r>
    </w:p>
    <w:p w:rsidR="00000000" w:rsidRPr="00AB702B" w:rsidP="00AB702B">
      <w:pPr>
        <w:pStyle w:val="ListBullet"/>
      </w:pPr>
      <w:r w:rsidRPr="00AB702B">
        <w:t>types and safe use of lifting equipment</w:t>
      </w:r>
    </w:p>
    <w:p w:rsidR="00000000" w:rsidRPr="00AB702B" w:rsidP="00AB702B">
      <w:pPr>
        <w:pStyle w:val="ListBullet"/>
      </w:pPr>
      <w:r w:rsidRPr="00AB702B">
        <w:t>functional and operational features of plant, equipment and hand and power tools:</w:t>
      </w:r>
    </w:p>
    <w:p w:rsidR="00000000" w:rsidRPr="00AB702B" w:rsidP="00AB702B">
      <w:pPr>
        <w:pStyle w:val="ListBullet2"/>
      </w:pPr>
      <w:r w:rsidRPr="00AB702B">
        <w:t xml:space="preserve">cement mixer </w:t>
      </w:r>
    </w:p>
    <w:p w:rsidR="00000000" w:rsidRPr="00AB702B" w:rsidP="00AB702B">
      <w:pPr>
        <w:pStyle w:val="ListBullet2"/>
      </w:pPr>
      <w:r w:rsidRPr="00AB702B">
        <w:t>elevated work platforms (EWP)</w:t>
      </w:r>
    </w:p>
    <w:p w:rsidR="00000000" w:rsidRPr="00AB702B" w:rsidP="00AB702B">
      <w:pPr>
        <w:pStyle w:val="ListBullet2"/>
      </w:pPr>
      <w:r w:rsidRPr="00AB702B">
        <w:t>power drills</w:t>
      </w:r>
    </w:p>
    <w:p w:rsidR="00000000" w:rsidRPr="00AB702B" w:rsidP="00AB702B">
      <w:pPr>
        <w:pStyle w:val="ListBullet2"/>
      </w:pPr>
      <w:r w:rsidRPr="00AB702B">
        <w:t>air compressor and hoses</w:t>
      </w:r>
    </w:p>
    <w:p w:rsidR="00000000" w:rsidRPr="00AB702B" w:rsidP="00AB702B">
      <w:pPr>
        <w:pStyle w:val="ListBullet2"/>
      </w:pPr>
      <w:r w:rsidRPr="00AB702B">
        <w:t>battery operated tools</w:t>
      </w:r>
    </w:p>
    <w:p w:rsidR="00000000" w:rsidRPr="00AB702B" w:rsidP="00AB702B">
      <w:pPr>
        <w:pStyle w:val="ListBullet"/>
      </w:pPr>
      <w:r w:rsidRPr="00AB702B">
        <w:t xml:space="preserve">workplace processes and procedures  </w:t>
      </w:r>
    </w:p>
    <w:p w:rsidR="00000000" w:rsidRPr="00AB702B" w:rsidP="00AB702B">
      <w:pPr>
        <w:pStyle w:val="ListBullet"/>
      </w:pPr>
      <w:r w:rsidRPr="00AB702B">
        <w:t>workplace safety:</w:t>
      </w:r>
    </w:p>
    <w:p w:rsidR="00000000" w:rsidRPr="00AB702B" w:rsidP="00AB702B">
      <w:pPr>
        <w:pStyle w:val="ListBullet2"/>
      </w:pPr>
      <w:r w:rsidRPr="00AB702B">
        <w:t>exposure to silica</w:t>
      </w:r>
    </w:p>
    <w:p w:rsidR="00000000" w:rsidRPr="00AB702B" w:rsidP="00AB702B">
      <w:pPr>
        <w:pStyle w:val="ListBullet2"/>
      </w:pPr>
      <w:r w:rsidRPr="00AB702B">
        <w:t>job safety and environmental analysis (JSEA)</w:t>
      </w:r>
    </w:p>
    <w:p w:rsidR="00000000" w:rsidRPr="00AB702B" w:rsidP="00AB702B">
      <w:pPr>
        <w:pStyle w:val="ListBullet2"/>
      </w:pPr>
      <w:r w:rsidRPr="00AB702B">
        <w:t>hazardous manual tasks</w:t>
      </w:r>
    </w:p>
    <w:p w:rsidR="00000000" w:rsidRPr="00AB702B" w:rsidP="00AB702B">
      <w:pPr>
        <w:pStyle w:val="ListBullet2"/>
      </w:pPr>
      <w:r w:rsidRPr="00AB702B">
        <w:t>working at heights</w:t>
      </w:r>
    </w:p>
    <w:p w:rsidR="00000000" w:rsidRPr="00AB702B" w:rsidP="00AB702B">
      <w:pPr>
        <w:pStyle w:val="ListBullet2"/>
      </w:pPr>
      <w:r w:rsidRPr="00AB702B">
        <w:t>exposure to loud noise</w:t>
      </w:r>
    </w:p>
    <w:p w:rsidR="00000000" w:rsidRPr="00AB702B" w:rsidP="00AB702B">
      <w:pPr>
        <w:pStyle w:val="ListBullet"/>
      </w:pPr>
      <w:r w:rsidRPr="00AB702B">
        <w:t>working drawings and specifications</w:t>
      </w:r>
    </w:p>
    <w:p w:rsidR="00000000" w:rsidRPr="00AB702B" w:rsidP="00AB702B">
      <w:pPr>
        <w:pStyle w:val="ListBullet"/>
      </w:pPr>
      <w:r w:rsidRPr="00AB702B">
        <w:t xml:space="preserve">material protection and storage </w:t>
      </w:r>
    </w:p>
    <w:p w:rsidR="00000000" w:rsidRPr="00AB702B" w:rsidP="00AB702B">
      <w:pPr>
        <w:pStyle w:val="ListBullet"/>
      </w:pPr>
      <w:r w:rsidRPr="00AB702B">
        <w:t>environmental requirements for workplace processes and waste disposal</w:t>
      </w:r>
    </w:p>
    <w:p w:rsidR="00000000" w:rsidRPr="00AB702B" w:rsidP="00AB702B">
      <w:pPr>
        <w:pStyle w:val="ListBullet"/>
      </w:pPr>
      <w:r w:rsidRPr="00AB702B">
        <w:t>sustainability principles</w:t>
      </w:r>
    </w:p>
    <w:p w:rsidR="00000000" w:rsidRPr="00AB702B" w:rsidP="00AB702B">
      <w:pPr>
        <w:pStyle w:val="ListBullet"/>
      </w:pPr>
      <w:r w:rsidRPr="00AB702B">
        <w:t>construction standards, codes and regulations</w:t>
      </w:r>
    </w:p>
    <w:p w:rsidR="00000000" w:rsidRPr="00AB702B" w:rsidP="00AB702B">
      <w:pPr>
        <w:pStyle w:val="ListBullet"/>
      </w:pPr>
      <w:r w:rsidRPr="00AB702B">
        <w:t>key requirements of the National Construction Code (NCC) relevant to solid masonry walls</w:t>
      </w:r>
    </w:p>
    <w:p w:rsidR="00000000" w:rsidRPr="00AB702B" w:rsidP="00AB702B">
      <w:pPr>
        <w:pStyle w:val="ListBullet"/>
      </w:pPr>
      <w:r w:rsidRPr="00AB702B">
        <w:t>digital technology to source information and communicate with others.</w:t>
      </w:r>
    </w:p>
    <w:p w:rsidR="00000000" w:rsidRPr="00AB702B" w:rsidP="00AB702B">
      <w:pPr>
        <w:pStyle w:val="AllowPageBreak"/>
      </w:pPr>
    </w:p>
    <w:p w:rsidR="00000000" w:rsidRPr="00AB702B" w:rsidP="00AB702B">
      <w:pPr>
        <w:pStyle w:val="Heading1"/>
      </w:pPr>
      <w:bookmarkStart w:id="4" w:name="O_1295888"/>
      <w:bookmarkEnd w:id="4"/>
      <w:r w:rsidRPr="00AB702B">
        <w:t>Assessment Conditions</w:t>
      </w:r>
    </w:p>
    <w:p w:rsidR="00000000" w:rsidRPr="00AB702B" w:rsidP="00D16B83">
      <w:pPr>
        <w:pStyle w:val="BodyText"/>
      </w:pPr>
      <w:r w:rsidRPr="00AB702B">
        <w:t>Assessors must meet the requirements for assessors conta</w:t>
      </w:r>
      <w:r w:rsidRPr="00AB702B">
        <w:t xml:space="preserve">ined in the Standards for Registered Training Organisations. </w:t>
      </w:r>
    </w:p>
    <w:p w:rsidR="00000000" w:rsidRPr="00AB702B" w:rsidP="00D16B83">
      <w:pPr>
        <w:pStyle w:val="BodyText"/>
      </w:pPr>
      <w:r w:rsidRPr="00AB702B">
        <w:t>This unit must be assessed in the workplace or a close simulation reflecting workplace conditions and standards, materials, equipment, activities, responsibilities, procedures, safety requiremen</w:t>
      </w:r>
      <w:r w:rsidRPr="00AB702B">
        <w:t>ts and environmental considerations.</w:t>
      </w:r>
    </w:p>
    <w:p w:rsidR="00000000" w:rsidRPr="00AB702B" w:rsidP="00AB702B">
      <w:pPr>
        <w:pStyle w:val="Heading1"/>
      </w:pPr>
      <w:bookmarkStart w:id="5" w:name="O_1295901"/>
      <w:bookmarkEnd w:id="5"/>
      <w:r w:rsidRPr="00AB702B">
        <w:t>Links</w:t>
      </w:r>
    </w:p>
    <w:p w:rsidR="00000000" w:rsidRPr="00AB702B" w:rsidP="00D16B83">
      <w:pPr>
        <w:pStyle w:val="BodyText"/>
      </w:pPr>
      <w:r w:rsidRPr="00AB70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60E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702B" w:rsidP="00AB702B"/>
    <w:sectPr w:rsidSect="00AB7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B" w:rsidRPr="00D16B83" w:rsidP="00D16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3" w:rsidP="00AB7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B83" w:rsidP="00AB7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6B83" w:rsidP="00AB7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02B" w:rsidRPr="00D16B83" w:rsidP="00D16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3" w:rsidRPr="002D2AF8" w:rsidP="00AB7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CPCCST3016 Build solid stonemasonry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16B83" w:rsidP="00AB7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367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009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47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02B"/>
  </w:style>
  <w:style w:type="character" w:customStyle="1" w:styleId="Heading1Char">
    <w:name w:val="Heading 1 Char"/>
    <w:basedOn w:val="DefaultParagraphFont"/>
    <w:link w:val="Heading1"/>
    <w:rsid w:val="00AB7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0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0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02B"/>
    <w:rPr>
      <w:b/>
      <w:spacing w:val="0"/>
    </w:rPr>
  </w:style>
  <w:style w:type="paragraph" w:customStyle="1" w:styleId="SuperTitle">
    <w:name w:val="SuperTitle"/>
    <w:basedOn w:val="Title"/>
    <w:rsid w:val="00AB7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02B"/>
    <w:rPr>
      <w:i/>
    </w:rPr>
  </w:style>
  <w:style w:type="paragraph" w:styleId="Caption">
    <w:name w:val="caption"/>
    <w:basedOn w:val="BodyText"/>
    <w:next w:val="Normal"/>
    <w:qFormat/>
    <w:rsid w:val="00AB7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02B"/>
  </w:style>
  <w:style w:type="paragraph" w:styleId="TableofFigures">
    <w:name w:val="table of figures"/>
    <w:basedOn w:val="Normal"/>
    <w:next w:val="Normal"/>
    <w:semiHidden/>
    <w:rsid w:val="00AB7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02B"/>
    <w:rPr>
      <w:rFonts w:ascii="Wingdings" w:hAnsi="Wingdings"/>
    </w:rPr>
  </w:style>
  <w:style w:type="paragraph" w:customStyle="1" w:styleId="TableHeading">
    <w:name w:val="Table Heading"/>
    <w:basedOn w:val="HeadingBase"/>
    <w:rsid w:val="00AB7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02B"/>
    <w:rPr>
      <w:color w:val="0033CC"/>
      <w:u w:val="none"/>
    </w:rPr>
  </w:style>
  <w:style w:type="paragraph" w:customStyle="1" w:styleId="BodyTextRight">
    <w:name w:val="Body Text Right"/>
    <w:basedOn w:val="BodyText"/>
    <w:rsid w:val="00AB7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02B"/>
    <w:rPr>
      <w:sz w:val="32"/>
    </w:rPr>
  </w:style>
  <w:style w:type="paragraph" w:customStyle="1" w:styleId="HeadingProcedure">
    <w:name w:val="Heading Procedure"/>
    <w:basedOn w:val="HeadingBase"/>
    <w:next w:val="Normal"/>
    <w:rsid w:val="00AB7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02B"/>
    <w:pPr>
      <w:spacing w:before="60" w:after="60"/>
    </w:pPr>
  </w:style>
  <w:style w:type="paragraph" w:styleId="ListContinue">
    <w:name w:val="List Continue"/>
    <w:basedOn w:val="List"/>
    <w:rsid w:val="00AB702B"/>
    <w:pPr>
      <w:ind w:firstLine="0"/>
    </w:pPr>
  </w:style>
  <w:style w:type="paragraph" w:customStyle="1" w:styleId="ListNote">
    <w:name w:val="List Note"/>
    <w:basedOn w:val="List"/>
    <w:rsid w:val="00AB7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02B"/>
    <w:rPr>
      <w:rFonts w:ascii="Courier New" w:hAnsi="Courier New"/>
    </w:rPr>
  </w:style>
  <w:style w:type="paragraph" w:customStyle="1" w:styleId="NoteBullet">
    <w:name w:val="Note Bullet"/>
    <w:basedOn w:val="Note"/>
    <w:rsid w:val="00AB7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02B"/>
    <w:rPr>
      <w:b/>
      <w:smallCaps/>
    </w:rPr>
  </w:style>
  <w:style w:type="paragraph" w:customStyle="1" w:styleId="TableListNumber">
    <w:name w:val="Table List Number"/>
    <w:basedOn w:val="ListNumber"/>
    <w:rsid w:val="00AB7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02B"/>
    <w:pPr>
      <w:numPr>
        <w:numId w:val="9"/>
      </w:numPr>
    </w:pPr>
  </w:style>
  <w:style w:type="paragraph" w:customStyle="1" w:styleId="ListAlpha2">
    <w:name w:val="List Alpha 2"/>
    <w:basedOn w:val="List2"/>
    <w:rsid w:val="00AB702B"/>
    <w:pPr>
      <w:numPr>
        <w:numId w:val="8"/>
      </w:numPr>
    </w:pPr>
  </w:style>
  <w:style w:type="paragraph" w:styleId="List2">
    <w:name w:val="List 2"/>
    <w:basedOn w:val="BodyText"/>
    <w:rsid w:val="00AB7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02B"/>
    <w:pPr>
      <w:numPr>
        <w:numId w:val="4"/>
      </w:numPr>
    </w:pPr>
  </w:style>
  <w:style w:type="paragraph" w:styleId="ListContinue2">
    <w:name w:val="List Continue 2"/>
    <w:basedOn w:val="List2"/>
    <w:rsid w:val="00AB702B"/>
    <w:pPr>
      <w:ind w:firstLine="0"/>
    </w:pPr>
  </w:style>
  <w:style w:type="paragraph" w:styleId="ListContinue3">
    <w:name w:val="List Continue 3"/>
    <w:basedOn w:val="List3"/>
    <w:rsid w:val="00AB702B"/>
    <w:pPr>
      <w:ind w:left="1021" w:firstLine="0"/>
    </w:pPr>
  </w:style>
  <w:style w:type="paragraph" w:styleId="ListContinue4">
    <w:name w:val="List Continue 4"/>
    <w:basedOn w:val="List4"/>
    <w:rsid w:val="00AB702B"/>
    <w:pPr>
      <w:ind w:firstLine="0"/>
    </w:pPr>
  </w:style>
  <w:style w:type="paragraph" w:styleId="ListContinue5">
    <w:name w:val="List Continue 5"/>
    <w:basedOn w:val="List5"/>
    <w:rsid w:val="00AB702B"/>
    <w:pPr>
      <w:ind w:firstLine="0"/>
    </w:pPr>
  </w:style>
  <w:style w:type="paragraph" w:styleId="ListNumber3">
    <w:name w:val="List Number 3"/>
    <w:basedOn w:val="List3"/>
    <w:rsid w:val="00AB702B"/>
    <w:pPr>
      <w:numPr>
        <w:numId w:val="5"/>
      </w:numPr>
    </w:pPr>
  </w:style>
  <w:style w:type="paragraph" w:styleId="ListNumber4">
    <w:name w:val="List Number 4"/>
    <w:basedOn w:val="List4"/>
    <w:rsid w:val="00AB702B"/>
    <w:pPr>
      <w:numPr>
        <w:numId w:val="6"/>
      </w:numPr>
    </w:pPr>
  </w:style>
  <w:style w:type="paragraph" w:styleId="ListNumber5">
    <w:name w:val="List Number 5"/>
    <w:basedOn w:val="List5"/>
    <w:rsid w:val="00AB702B"/>
    <w:pPr>
      <w:numPr>
        <w:numId w:val="7"/>
      </w:numPr>
    </w:pPr>
  </w:style>
  <w:style w:type="paragraph" w:styleId="BlockText">
    <w:name w:val="Block Text"/>
    <w:basedOn w:val="Normal"/>
    <w:rsid w:val="00AB7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02B"/>
    <w:rPr>
      <w:sz w:val="16"/>
      <w:vertAlign w:val="superscript"/>
    </w:rPr>
  </w:style>
  <w:style w:type="character" w:customStyle="1" w:styleId="Symbols">
    <w:name w:val="Symbols"/>
    <w:basedOn w:val="DefaultParagraphFont"/>
    <w:rsid w:val="00AB702B"/>
    <w:rPr>
      <w:rFonts w:ascii="Symbol" w:hAnsi="Symbol"/>
    </w:rPr>
  </w:style>
  <w:style w:type="character" w:customStyle="1" w:styleId="MenuOptions">
    <w:name w:val="Menu Options"/>
    <w:basedOn w:val="DefaultParagraphFont"/>
    <w:rsid w:val="00AB7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02B"/>
    <w:rPr>
      <w:b/>
    </w:rPr>
  </w:style>
  <w:style w:type="character" w:customStyle="1" w:styleId="Underlined">
    <w:name w:val="Underlined"/>
    <w:basedOn w:val="DefaultParagraphFont"/>
    <w:rsid w:val="00AB702B"/>
    <w:rPr>
      <w:u w:val="single"/>
    </w:rPr>
  </w:style>
  <w:style w:type="paragraph" w:customStyle="1" w:styleId="TableBodyTextRight">
    <w:name w:val="Table Body Text Right"/>
    <w:basedOn w:val="TableBodyText"/>
    <w:rsid w:val="00AB7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02B"/>
    <w:rPr>
      <w:sz w:val="18"/>
    </w:rPr>
  </w:style>
  <w:style w:type="paragraph" w:customStyle="1" w:styleId="BodySmallRight">
    <w:name w:val="Body Small Right"/>
    <w:basedOn w:val="BodyTextRight"/>
    <w:rsid w:val="00AB702B"/>
    <w:rPr>
      <w:sz w:val="18"/>
      <w:szCs w:val="18"/>
    </w:rPr>
  </w:style>
  <w:style w:type="paragraph" w:customStyle="1" w:styleId="MarginEdition">
    <w:name w:val="Margin Edition"/>
    <w:basedOn w:val="MarginNote"/>
    <w:rsid w:val="00AB7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02B"/>
    <w:rPr>
      <w:sz w:val="2"/>
      <w:szCs w:val="2"/>
    </w:rPr>
  </w:style>
  <w:style w:type="character" w:customStyle="1" w:styleId="Small">
    <w:name w:val="Small"/>
    <w:basedOn w:val="DefaultParagraphFont"/>
    <w:rsid w:val="00AB702B"/>
    <w:rPr>
      <w:sz w:val="16"/>
    </w:rPr>
  </w:style>
  <w:style w:type="paragraph" w:customStyle="1" w:styleId="WideTable">
    <w:name w:val="Wide Table"/>
    <w:basedOn w:val="Normal"/>
    <w:rsid w:val="00AB7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02B"/>
  </w:style>
  <w:style w:type="paragraph" w:styleId="Quote">
    <w:name w:val="Quote"/>
    <w:basedOn w:val="Heading1"/>
    <w:link w:val="QuoteChar"/>
    <w:qFormat/>
    <w:rsid w:val="00AB7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02B"/>
    <w:pPr>
      <w:pageBreakBefore/>
    </w:pPr>
  </w:style>
  <w:style w:type="paragraph" w:customStyle="1" w:styleId="Border">
    <w:name w:val="Border"/>
    <w:basedOn w:val="Normal"/>
    <w:qFormat/>
    <w:rsid w:val="00AB7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02B"/>
    <w:rPr>
      <w:u w:val="single"/>
    </w:rPr>
  </w:style>
  <w:style w:type="character" w:customStyle="1" w:styleId="BoldandItalics">
    <w:name w:val="Bold and Italics"/>
    <w:qFormat/>
    <w:rsid w:val="00AB702B"/>
    <w:rPr>
      <w:b/>
      <w:i/>
      <w:u w:val="none"/>
    </w:rPr>
  </w:style>
  <w:style w:type="paragraph" w:styleId="BalloonText">
    <w:name w:val="Balloon Text"/>
    <w:basedOn w:val="Normal"/>
    <w:link w:val="BalloonTextChar"/>
    <w:rsid w:val="00AB7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02B"/>
    <w:pPr>
      <w:spacing w:before="0" w:after="0"/>
    </w:pPr>
  </w:style>
  <w:style w:type="paragraph" w:customStyle="1" w:styleId="BodyTextBold">
    <w:name w:val="Body Text Bold"/>
    <w:basedOn w:val="BodyText"/>
    <w:qFormat/>
    <w:rsid w:val="00AB702B"/>
    <w:rPr>
      <w:b/>
    </w:rPr>
  </w:style>
  <w:style w:type="character" w:styleId="Hyperlink">
    <w:name w:val="Hyperlink"/>
    <w:basedOn w:val="DefaultParagraphFont"/>
    <w:uiPriority w:val="99"/>
    <w:unhideWhenUsed/>
    <w:rsid w:val="00D16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2703</Characters>
  <Application>Microsoft Office Word</Application>
  <DocSecurity>0</DocSecurity>
  <Lines>81</Lines>
  <Paragraphs>69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CPCCST3016 Build solid stonemasonry walls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