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661" w:rsidP="00870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CPCCST3014 Set and anchor stone facades</w:t>
      </w:r>
      <w:r>
        <w:fldChar w:fldCharType="end"/>
      </w:r>
    </w:p>
    <w:p w:rsidR="00870661" w:rsidP="00870661">
      <w:pPr>
        <w:pStyle w:val="Version"/>
        <w:sectPr w:rsidSect="00021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1373" w:rsidP="00021373">
      <w:pPr>
        <w:pStyle w:val="SuperHeading"/>
      </w:pPr>
      <w:r w:rsidRPr="00021373">
        <w:t>CPCCST3014 Set and anchor stone facades</w:t>
      </w:r>
    </w:p>
    <w:p w:rsidR="00000000" w:rsidRPr="00021373" w:rsidP="00021373">
      <w:pPr>
        <w:pStyle w:val="Heading1"/>
      </w:pPr>
      <w:bookmarkStart w:id="1" w:name="O_1295867"/>
      <w:bookmarkEnd w:id="1"/>
      <w:r w:rsidRPr="000213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Updated reference to general construction induction training program.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73" w:rsidP="00021373">
            <w:pPr>
              <w:pStyle w:val="BodyText"/>
            </w:pPr>
            <w:r w:rsidRPr="00021373">
              <w:t>This version first released with CPC Construction, Plumbing and Services Training Package Release 5.0.</w:t>
            </w:r>
          </w:p>
          <w:p w:rsidR="00000000" w:rsidRPr="00021373" w:rsidP="00021373">
            <w:pPr>
              <w:pStyle w:val="BodyText"/>
            </w:pPr>
            <w:r w:rsidRPr="00021373">
              <w:t>Supersedes and is equivalent to CPCCST301</w:t>
            </w:r>
            <w:r w:rsidRPr="00021373">
              <w:t>4A Set and anchor stone facades.  Updated to meet the Standards for Training Packages 2012.</w:t>
            </w:r>
          </w:p>
        </w:tc>
      </w:tr>
    </w:tbl>
    <w:p w:rsidR="00000000" w:rsidRPr="00021373" w:rsidP="00021373">
      <w:pPr>
        <w:pStyle w:val="BodyText"/>
      </w:pPr>
    </w:p>
    <w:p w:rsidR="00000000" w:rsidRPr="00021373" w:rsidP="00021373">
      <w:pPr>
        <w:pStyle w:val="AllowPageBreak"/>
      </w:pPr>
    </w:p>
    <w:p w:rsidR="00000000" w:rsidRPr="00021373" w:rsidP="00021373">
      <w:pPr>
        <w:pStyle w:val="Heading1"/>
      </w:pPr>
      <w:bookmarkStart w:id="2" w:name="O_1295866"/>
      <w:bookmarkEnd w:id="2"/>
      <w:r w:rsidRPr="00021373">
        <w:t>Application</w:t>
      </w:r>
    </w:p>
    <w:p w:rsidR="00000000" w:rsidRPr="00021373" w:rsidP="00870661">
      <w:pPr>
        <w:pStyle w:val="BodyText"/>
      </w:pPr>
      <w:r w:rsidRPr="00021373">
        <w:t>This unit specifies the skills and knowledge required to shift, set and anchor a variety of stone facades for construction projects</w:t>
      </w:r>
      <w:r w:rsidRPr="00021373">
        <w:t xml:space="preserve">. </w:t>
      </w:r>
    </w:p>
    <w:p w:rsidR="00000000" w:rsidRPr="00021373" w:rsidP="00870661">
      <w:pPr>
        <w:pStyle w:val="BodyText"/>
      </w:pPr>
      <w:r w:rsidRPr="00021373">
        <w:t xml:space="preserve">This unit applies to stonemasons who work independently or in a team to set and anchor stone facades relating to stonemasonry work on a new or existing structure. </w:t>
      </w:r>
    </w:p>
    <w:p w:rsidR="00000000" w:rsidRPr="00021373" w:rsidP="00870661">
      <w:pPr>
        <w:pStyle w:val="BodyText"/>
      </w:pPr>
      <w:r w:rsidRPr="00021373">
        <w:t>A person working at this level would be expected to take responsibility for organising an</w:t>
      </w:r>
      <w:r w:rsidRPr="00021373">
        <w:t>d completing tasks assigned to them without needing close supervision.</w:t>
      </w:r>
    </w:p>
    <w:p w:rsidR="00000000" w:rsidRPr="00021373" w:rsidP="00870661">
      <w:pPr>
        <w:pStyle w:val="BodyText"/>
      </w:pPr>
      <w:r w:rsidRPr="00021373">
        <w:t>Completion of the general construction induction training program specified by the model Code of Practice for Construction Work is required for any person who is to carry out constructi</w:t>
      </w:r>
      <w:r w:rsidRPr="00021373">
        <w:t xml:space="preserve">on work. Achievement of </w:t>
      </w:r>
      <w:r w:rsidRPr="00021373">
        <w:rPr>
          <w:rStyle w:val="Emphasis"/>
        </w:rPr>
        <w:t>CPCWHS1001</w:t>
      </w:r>
      <w:r w:rsidRPr="00021373">
        <w:t> </w:t>
      </w:r>
      <w:r w:rsidRPr="00021373">
        <w:rPr>
          <w:rStyle w:val="Emphasis"/>
        </w:rPr>
        <w:t>Prepare to work safely in the construction industry</w:t>
      </w:r>
      <w:r w:rsidRPr="00021373">
        <w:t> meets this requirement.</w:t>
      </w:r>
    </w:p>
    <w:p w:rsidR="00000000" w:rsidRPr="00021373" w:rsidP="00870661">
      <w:pPr>
        <w:pStyle w:val="BodyText"/>
      </w:pPr>
      <w:r w:rsidRPr="00021373">
        <w:t xml:space="preserve">No licensing, legislative or certification requirements apply to this unit at the time of publication. </w:t>
      </w:r>
    </w:p>
    <w:p w:rsidR="00000000" w:rsidRPr="00021373" w:rsidP="00021373">
      <w:pPr>
        <w:pStyle w:val="Heading1"/>
      </w:pPr>
      <w:bookmarkStart w:id="3" w:name="O_1295865"/>
      <w:bookmarkEnd w:id="3"/>
      <w:r w:rsidRPr="00021373">
        <w:t>Pre-requisite Unit</w:t>
      </w:r>
    </w:p>
    <w:p w:rsidR="00000000" w:rsidRPr="00021373" w:rsidP="00870661">
      <w:pPr>
        <w:pStyle w:val="BodyText"/>
      </w:pPr>
      <w:r w:rsidRPr="00021373">
        <w:t>CPC</w:t>
      </w:r>
      <w:r w:rsidRPr="00021373">
        <w:t>CWHS2001 Apply WHS requirements, policies and procedures in the construction industry</w:t>
      </w:r>
    </w:p>
    <w:p w:rsidR="00000000" w:rsidRPr="00021373" w:rsidP="00021373">
      <w:pPr>
        <w:pStyle w:val="Heading1"/>
      </w:pPr>
      <w:bookmarkStart w:id="4" w:name="O_1295864"/>
      <w:bookmarkEnd w:id="4"/>
      <w:r w:rsidRPr="00021373">
        <w:t>Unit Sector</w:t>
      </w:r>
    </w:p>
    <w:p w:rsidR="00000000" w:rsidRPr="00021373" w:rsidP="00870661">
      <w:pPr>
        <w:pStyle w:val="BodyText"/>
      </w:pPr>
      <w:r w:rsidRPr="00021373">
        <w:t>Stonemasonry</w:t>
      </w:r>
    </w:p>
    <w:p w:rsidR="00000000" w:rsidRPr="00021373" w:rsidP="00021373">
      <w:pPr>
        <w:pStyle w:val="Heading1"/>
      </w:pPr>
      <w:bookmarkStart w:id="5" w:name="O_1295863"/>
      <w:bookmarkEnd w:id="5"/>
      <w:r w:rsidRPr="000213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Performance criteria describe what needs to be done to demonstrate achievement of the element.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Read, interpret and apply fixing stone facade requirements from current plans, specifications, standards and codes.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 xml:space="preserve">Follow relevant information from workplace procedures, workplace safety and environmental documentation. 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 xml:space="preserve">Use measurements and apply formulas to calculate material quantities for the task. 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Determine job priorities and sequence job tasks in c</w:t>
            </w:r>
            <w:r w:rsidRPr="00021373">
              <w:t>onsultation with others on site.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Identify potential hazards and determine and implement control measures.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Select and check condition of plant, equipment and tools and report damage or malfunction to relevant person.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Select, fit correctly and use personal protective equipment (PPE) appropriate for job.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Check conformity of materials against the specifications.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Set out stone facade dimensions, line and level from datum and establish base course.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Prepare area of construction to receive stone components.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Prepare surface and install base dowels to provide key for base course.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Check stone for faults; stone components are prepared, lifting locations are undamaged, and lifting gear is atta</w:t>
            </w:r>
            <w:r w:rsidRPr="00021373">
              <w:t>ched.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Shift, erect and fix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Erect scaffolding as required in accordance with workplace safety requirements.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Select slings, clutches and lifting equipment for their correct function and inspect for wear and tear or damage.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Shift and transfer stone components to fixing location at structure.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Prepare base components by drilling holes for dowels and placing wedges or packers for adjustment.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Place and fix base course components; align and tie to stone components, a</w:t>
            </w:r>
            <w:r w:rsidRPr="00021373">
              <w:t xml:space="preserve">nd adjust and secure.  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Install, join and fix stone facades and corners using appropriate fixing methods.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Flash, seal and caulk stone facade using recommended products.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Clean joins and stone face.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Clear the work area, and dispose of, reuse or recycle following workplace and environmental requirements.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Clean tools and equipment, check for serviceability and report damage or faults.</w:t>
            </w:r>
          </w:p>
        </w:tc>
      </w:tr>
      <w:tr w:rsidTr="00021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73">
            <w:pPr>
              <w:pStyle w:val="BodyText"/>
              <w:rPr>
                <w:lang w:val="en-NZ"/>
              </w:rPr>
            </w:pPr>
            <w:r w:rsidRPr="0002137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73" w:rsidP="00021373">
            <w:pPr>
              <w:pStyle w:val="BodyText"/>
            </w:pPr>
            <w:r w:rsidRPr="00021373">
              <w:t>Store and secure tools and equipment following workplac</w:t>
            </w:r>
            <w:r w:rsidRPr="00021373">
              <w:t>e procedures.</w:t>
            </w:r>
          </w:p>
        </w:tc>
      </w:tr>
    </w:tbl>
    <w:p w:rsidR="00000000" w:rsidRPr="00021373" w:rsidP="00021373">
      <w:pPr>
        <w:pStyle w:val="BodyText"/>
      </w:pPr>
    </w:p>
    <w:p w:rsidR="00000000" w:rsidRPr="00021373" w:rsidP="00021373">
      <w:pPr>
        <w:pStyle w:val="AllowPageBreak"/>
      </w:pPr>
    </w:p>
    <w:p w:rsidR="00000000" w:rsidRPr="00021373" w:rsidP="00021373">
      <w:pPr>
        <w:pStyle w:val="Heading1"/>
      </w:pPr>
      <w:bookmarkStart w:id="6" w:name="O_1295862"/>
      <w:bookmarkEnd w:id="6"/>
      <w:r w:rsidRPr="00021373">
        <w:t>Foundation Skills</w:t>
      </w:r>
    </w:p>
    <w:p w:rsidR="00000000" w:rsidRPr="00021373" w:rsidP="00870661">
      <w:pPr>
        <w:pStyle w:val="BodyText"/>
      </w:pPr>
      <w:r w:rsidRPr="00021373">
        <w:t>Foundation skills essential to performance are explicit in the performance criteria of this unit of competency.</w:t>
      </w:r>
    </w:p>
    <w:p w:rsidR="00000000" w:rsidRPr="00021373" w:rsidP="00021373">
      <w:pPr>
        <w:pStyle w:val="Heading1"/>
      </w:pPr>
      <w:bookmarkStart w:id="7" w:name="O_1295861"/>
      <w:bookmarkEnd w:id="7"/>
      <w:r w:rsidRPr="00021373">
        <w:t>Unit Mapping Information</w:t>
      </w:r>
    </w:p>
    <w:p w:rsidR="00000000" w:rsidRPr="00021373" w:rsidP="00870661">
      <w:pPr>
        <w:pStyle w:val="BodyText"/>
      </w:pPr>
      <w:r w:rsidRPr="00021373">
        <w:t>Supersedes and is equivalent to CPCCST3014A Set and anchor stone facades</w:t>
      </w:r>
    </w:p>
    <w:p w:rsidR="00000000" w:rsidRPr="00021373" w:rsidP="00021373">
      <w:pPr>
        <w:pStyle w:val="Heading1"/>
      </w:pPr>
      <w:bookmarkStart w:id="8" w:name="O_1295868"/>
      <w:bookmarkEnd w:id="8"/>
      <w:r w:rsidRPr="00021373">
        <w:t>Links</w:t>
      </w:r>
    </w:p>
    <w:p w:rsidR="00000000" w:rsidRPr="00021373" w:rsidP="00870661">
      <w:pPr>
        <w:pStyle w:val="BodyText"/>
      </w:pPr>
      <w:r w:rsidRPr="000213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6AD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21373" w:rsidP="00021373"/>
    <w:sectPr w:rsidSect="00021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73" w:rsidRPr="00870661" w:rsidP="00870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61" w:rsidP="00021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661" w:rsidP="00021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70661" w:rsidP="00021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373" w:rsidRPr="00870661" w:rsidP="00870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61" w:rsidRPr="002D2AF8" w:rsidP="00021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CPCCST3014 Set and anchor stone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70661" w:rsidP="00021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373"/>
  </w:style>
  <w:style w:type="character" w:customStyle="1" w:styleId="Heading1Char">
    <w:name w:val="Heading 1 Char"/>
    <w:basedOn w:val="DefaultParagraphFont"/>
    <w:link w:val="Heading1"/>
    <w:rsid w:val="00021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37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21373"/>
    <w:rPr>
      <w:i/>
    </w:rPr>
  </w:style>
  <w:style w:type="paragraph" w:customStyle="1" w:styleId="SuperHeading">
    <w:name w:val="SuperHeading"/>
    <w:basedOn w:val="Normal"/>
    <w:rsid w:val="00021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3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3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1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373"/>
    <w:rPr>
      <w:b/>
      <w:spacing w:val="0"/>
    </w:rPr>
  </w:style>
  <w:style w:type="paragraph" w:customStyle="1" w:styleId="SuperTitle">
    <w:name w:val="SuperTitle"/>
    <w:basedOn w:val="Title"/>
    <w:rsid w:val="00021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3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3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373"/>
  </w:style>
  <w:style w:type="paragraph" w:styleId="TableofFigures">
    <w:name w:val="table of figures"/>
    <w:basedOn w:val="Normal"/>
    <w:next w:val="Normal"/>
    <w:semiHidden/>
    <w:rsid w:val="00021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3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1373"/>
    <w:rPr>
      <w:rFonts w:ascii="Wingdings" w:hAnsi="Wingdings"/>
    </w:rPr>
  </w:style>
  <w:style w:type="paragraph" w:customStyle="1" w:styleId="TableHeading">
    <w:name w:val="Table Heading"/>
    <w:basedOn w:val="HeadingBase"/>
    <w:rsid w:val="00021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373"/>
    <w:rPr>
      <w:color w:val="0033CC"/>
      <w:u w:val="none"/>
    </w:rPr>
  </w:style>
  <w:style w:type="paragraph" w:customStyle="1" w:styleId="BodyTextRight">
    <w:name w:val="Body Text Right"/>
    <w:basedOn w:val="BodyText"/>
    <w:rsid w:val="00021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3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373"/>
    <w:rPr>
      <w:sz w:val="32"/>
    </w:rPr>
  </w:style>
  <w:style w:type="paragraph" w:customStyle="1" w:styleId="HeadingProcedure">
    <w:name w:val="Heading Procedure"/>
    <w:basedOn w:val="HeadingBase"/>
    <w:next w:val="Normal"/>
    <w:rsid w:val="00021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373"/>
    <w:pPr>
      <w:spacing w:before="60" w:after="60"/>
    </w:pPr>
  </w:style>
  <w:style w:type="paragraph" w:styleId="ListContinue">
    <w:name w:val="List Continue"/>
    <w:basedOn w:val="List"/>
    <w:rsid w:val="00021373"/>
    <w:pPr>
      <w:ind w:firstLine="0"/>
    </w:pPr>
  </w:style>
  <w:style w:type="paragraph" w:customStyle="1" w:styleId="ListNote">
    <w:name w:val="List Note"/>
    <w:basedOn w:val="List"/>
    <w:rsid w:val="00021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373"/>
    <w:rPr>
      <w:rFonts w:ascii="Courier New" w:hAnsi="Courier New"/>
    </w:rPr>
  </w:style>
  <w:style w:type="paragraph" w:customStyle="1" w:styleId="NoteBullet">
    <w:name w:val="Note Bullet"/>
    <w:basedOn w:val="Note"/>
    <w:rsid w:val="00021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3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1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373"/>
    <w:rPr>
      <w:b/>
      <w:smallCaps/>
    </w:rPr>
  </w:style>
  <w:style w:type="paragraph" w:customStyle="1" w:styleId="TableListNumber">
    <w:name w:val="Table List Number"/>
    <w:basedOn w:val="ListNumber"/>
    <w:rsid w:val="00021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373"/>
    <w:pPr>
      <w:numPr>
        <w:numId w:val="7"/>
      </w:numPr>
    </w:pPr>
  </w:style>
  <w:style w:type="paragraph" w:customStyle="1" w:styleId="ListAlpha2">
    <w:name w:val="List Alpha 2"/>
    <w:basedOn w:val="List2"/>
    <w:rsid w:val="00021373"/>
    <w:pPr>
      <w:numPr>
        <w:numId w:val="6"/>
      </w:numPr>
    </w:pPr>
  </w:style>
  <w:style w:type="paragraph" w:styleId="List2">
    <w:name w:val="List 2"/>
    <w:basedOn w:val="BodyText"/>
    <w:rsid w:val="00021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3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3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1373"/>
    <w:pPr>
      <w:numPr>
        <w:numId w:val="2"/>
      </w:numPr>
    </w:pPr>
  </w:style>
  <w:style w:type="paragraph" w:styleId="ListContinue2">
    <w:name w:val="List Continue 2"/>
    <w:basedOn w:val="List2"/>
    <w:rsid w:val="00021373"/>
    <w:pPr>
      <w:ind w:firstLine="0"/>
    </w:pPr>
  </w:style>
  <w:style w:type="paragraph" w:styleId="ListContinue3">
    <w:name w:val="List Continue 3"/>
    <w:basedOn w:val="List3"/>
    <w:rsid w:val="00021373"/>
    <w:pPr>
      <w:ind w:left="1021" w:firstLine="0"/>
    </w:pPr>
  </w:style>
  <w:style w:type="paragraph" w:styleId="ListContinue4">
    <w:name w:val="List Continue 4"/>
    <w:basedOn w:val="List4"/>
    <w:rsid w:val="00021373"/>
    <w:pPr>
      <w:ind w:firstLine="0"/>
    </w:pPr>
  </w:style>
  <w:style w:type="paragraph" w:styleId="ListContinue5">
    <w:name w:val="List Continue 5"/>
    <w:basedOn w:val="List5"/>
    <w:rsid w:val="00021373"/>
    <w:pPr>
      <w:ind w:firstLine="0"/>
    </w:pPr>
  </w:style>
  <w:style w:type="paragraph" w:styleId="ListNumber3">
    <w:name w:val="List Number 3"/>
    <w:basedOn w:val="List3"/>
    <w:rsid w:val="00021373"/>
    <w:pPr>
      <w:numPr>
        <w:numId w:val="3"/>
      </w:numPr>
    </w:pPr>
  </w:style>
  <w:style w:type="paragraph" w:styleId="ListNumber4">
    <w:name w:val="List Number 4"/>
    <w:basedOn w:val="List4"/>
    <w:rsid w:val="00021373"/>
    <w:pPr>
      <w:numPr>
        <w:numId w:val="4"/>
      </w:numPr>
    </w:pPr>
  </w:style>
  <w:style w:type="paragraph" w:styleId="ListNumber5">
    <w:name w:val="List Number 5"/>
    <w:basedOn w:val="List5"/>
    <w:rsid w:val="00021373"/>
    <w:pPr>
      <w:numPr>
        <w:numId w:val="5"/>
      </w:numPr>
    </w:pPr>
  </w:style>
  <w:style w:type="paragraph" w:styleId="BlockText">
    <w:name w:val="Block Text"/>
    <w:basedOn w:val="Normal"/>
    <w:rsid w:val="00021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373"/>
    <w:rPr>
      <w:sz w:val="16"/>
      <w:vertAlign w:val="superscript"/>
    </w:rPr>
  </w:style>
  <w:style w:type="character" w:customStyle="1" w:styleId="Symbols">
    <w:name w:val="Symbols"/>
    <w:basedOn w:val="DefaultParagraphFont"/>
    <w:rsid w:val="00021373"/>
    <w:rPr>
      <w:rFonts w:ascii="Symbol" w:hAnsi="Symbol"/>
    </w:rPr>
  </w:style>
  <w:style w:type="character" w:customStyle="1" w:styleId="MenuOptions">
    <w:name w:val="Menu Options"/>
    <w:basedOn w:val="DefaultParagraphFont"/>
    <w:rsid w:val="00021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373"/>
    <w:rPr>
      <w:b/>
    </w:rPr>
  </w:style>
  <w:style w:type="character" w:customStyle="1" w:styleId="Underlined">
    <w:name w:val="Underlined"/>
    <w:basedOn w:val="DefaultParagraphFont"/>
    <w:rsid w:val="00021373"/>
    <w:rPr>
      <w:u w:val="single"/>
    </w:rPr>
  </w:style>
  <w:style w:type="paragraph" w:customStyle="1" w:styleId="TableBodyTextRight">
    <w:name w:val="Table Body Text Right"/>
    <w:basedOn w:val="TableBodyText"/>
    <w:rsid w:val="00021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373"/>
    <w:rPr>
      <w:sz w:val="18"/>
    </w:rPr>
  </w:style>
  <w:style w:type="paragraph" w:customStyle="1" w:styleId="BodySmallRight">
    <w:name w:val="Body Small Right"/>
    <w:basedOn w:val="BodyTextRight"/>
    <w:rsid w:val="00021373"/>
    <w:rPr>
      <w:sz w:val="18"/>
      <w:szCs w:val="18"/>
    </w:rPr>
  </w:style>
  <w:style w:type="paragraph" w:customStyle="1" w:styleId="MarginEdition">
    <w:name w:val="Margin Edition"/>
    <w:basedOn w:val="MarginNote"/>
    <w:rsid w:val="00021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373"/>
    <w:rPr>
      <w:sz w:val="2"/>
      <w:szCs w:val="2"/>
    </w:rPr>
  </w:style>
  <w:style w:type="character" w:customStyle="1" w:styleId="Small">
    <w:name w:val="Small"/>
    <w:basedOn w:val="DefaultParagraphFont"/>
    <w:rsid w:val="00021373"/>
    <w:rPr>
      <w:sz w:val="16"/>
    </w:rPr>
  </w:style>
  <w:style w:type="paragraph" w:customStyle="1" w:styleId="WideTable">
    <w:name w:val="Wide Table"/>
    <w:basedOn w:val="Normal"/>
    <w:rsid w:val="00021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373"/>
  </w:style>
  <w:style w:type="paragraph" w:styleId="Quote">
    <w:name w:val="Quote"/>
    <w:basedOn w:val="Heading1"/>
    <w:link w:val="QuoteChar"/>
    <w:qFormat/>
    <w:rsid w:val="00021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373"/>
    <w:pPr>
      <w:pageBreakBefore/>
    </w:pPr>
  </w:style>
  <w:style w:type="paragraph" w:customStyle="1" w:styleId="Border">
    <w:name w:val="Border"/>
    <w:basedOn w:val="Normal"/>
    <w:qFormat/>
    <w:rsid w:val="00021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373"/>
    <w:rPr>
      <w:u w:val="single"/>
    </w:rPr>
  </w:style>
  <w:style w:type="character" w:customStyle="1" w:styleId="BoldandItalics">
    <w:name w:val="Bold and Italics"/>
    <w:qFormat/>
    <w:rsid w:val="00021373"/>
    <w:rPr>
      <w:b/>
      <w:i/>
      <w:u w:val="none"/>
    </w:rPr>
  </w:style>
  <w:style w:type="paragraph" w:styleId="BalloonText">
    <w:name w:val="Balloon Text"/>
    <w:basedOn w:val="Normal"/>
    <w:link w:val="BalloonTextChar"/>
    <w:rsid w:val="00021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373"/>
    <w:pPr>
      <w:spacing w:before="0" w:after="0"/>
    </w:pPr>
  </w:style>
  <w:style w:type="paragraph" w:customStyle="1" w:styleId="BodyTextBold">
    <w:name w:val="Body Text Bold"/>
    <w:basedOn w:val="BodyText"/>
    <w:qFormat/>
    <w:rsid w:val="00021373"/>
    <w:rPr>
      <w:b/>
    </w:rPr>
  </w:style>
  <w:style w:type="character" w:styleId="Hyperlink">
    <w:name w:val="Hyperlink"/>
    <w:basedOn w:val="DefaultParagraphFont"/>
    <w:uiPriority w:val="99"/>
    <w:unhideWhenUsed/>
    <w:rsid w:val="00870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3734</Characters>
  <Application>Microsoft Office Word</Application>
  <DocSecurity>0</DocSecurity>
  <Lines>186</Lines>
  <Paragraphs>101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CPCCST3014 Set and anchor stone facades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