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531C" w:rsidP="001A53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CPCCST3014 Set and anchor stone facades</w:t>
      </w:r>
      <w:r>
        <w:fldChar w:fldCharType="end"/>
      </w:r>
    </w:p>
    <w:p w:rsidR="001A531C" w:rsidP="001A531C">
      <w:pPr>
        <w:pStyle w:val="Version"/>
        <w:sectPr w:rsidSect="00233E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33EC4" w:rsidP="00233EC4">
      <w:pPr>
        <w:pStyle w:val="SuperHeading"/>
      </w:pPr>
      <w:r w:rsidRPr="00233EC4">
        <w:t>Assessment Requirements for CPCCST3014 Set and anchor stone facades</w:t>
      </w:r>
    </w:p>
    <w:p w:rsidR="00000000" w:rsidRPr="00233EC4" w:rsidP="00233EC4">
      <w:pPr>
        <w:pStyle w:val="Heading1"/>
      </w:pPr>
      <w:bookmarkStart w:id="1" w:name="O_1295859"/>
      <w:bookmarkEnd w:id="1"/>
      <w:r w:rsidRPr="00233EC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233E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EC4">
            <w:pPr>
              <w:pStyle w:val="BodyText"/>
              <w:rPr>
                <w:lang w:val="en-NZ"/>
              </w:rPr>
            </w:pPr>
            <w:r w:rsidRPr="00233EC4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EC4">
            <w:pPr>
              <w:pStyle w:val="BodyText"/>
              <w:rPr>
                <w:lang w:val="en-NZ"/>
              </w:rPr>
            </w:pPr>
            <w:r w:rsidRPr="00233EC4">
              <w:t>Updated reference to general construction induction training program.</w:t>
            </w:r>
          </w:p>
        </w:tc>
      </w:tr>
      <w:tr w:rsidTr="00233E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EC4">
            <w:pPr>
              <w:pStyle w:val="BodyText"/>
              <w:rPr>
                <w:lang w:val="en-NZ"/>
              </w:rPr>
            </w:pPr>
            <w:r w:rsidRPr="00233EC4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EC4" w:rsidP="00233EC4">
            <w:pPr>
              <w:pStyle w:val="BodyText"/>
            </w:pPr>
            <w:r w:rsidRPr="00233EC4">
              <w:t>This version first released with CPC Construction, Plumbing and Services Training Package Release 5.0.</w:t>
            </w:r>
          </w:p>
          <w:p w:rsidR="00000000" w:rsidRPr="00233EC4" w:rsidP="00233EC4">
            <w:pPr>
              <w:pStyle w:val="BodyText"/>
            </w:pPr>
            <w:r w:rsidRPr="00233EC4">
              <w:t>Supersedes and is equivalent to CPCCST3014A Set and anchor stone facades.  Updated to meet the Standards for Training Packages 2012.</w:t>
            </w:r>
          </w:p>
        </w:tc>
      </w:tr>
    </w:tbl>
    <w:p w:rsidR="00000000" w:rsidRPr="00233EC4" w:rsidP="00233EC4">
      <w:pPr>
        <w:pStyle w:val="BodyText"/>
      </w:pPr>
    </w:p>
    <w:p w:rsidR="00000000" w:rsidRPr="00233EC4" w:rsidP="00233EC4">
      <w:pPr>
        <w:pStyle w:val="AllowPageBreak"/>
      </w:pPr>
    </w:p>
    <w:p w:rsidR="00000000" w:rsidRPr="00233EC4" w:rsidP="00233EC4">
      <w:pPr>
        <w:pStyle w:val="Heading1"/>
      </w:pPr>
      <w:bookmarkStart w:id="2" w:name="O_1295858"/>
      <w:bookmarkEnd w:id="2"/>
      <w:r w:rsidRPr="00233EC4">
        <w:t>Performance Evidence</w:t>
      </w:r>
    </w:p>
    <w:p w:rsidR="00000000" w:rsidRPr="00233EC4" w:rsidP="001A531C">
      <w:pPr>
        <w:pStyle w:val="BodyText"/>
      </w:pPr>
      <w:r w:rsidRPr="00233EC4">
        <w:t>To demonstrate competency in this unit, a candidate must meet the performance criteria of this unit by setting and anchoring stone facades to a steel frame or concrete construction with minimum height of 1.5 m.</w:t>
      </w:r>
    </w:p>
    <w:p w:rsidR="00000000" w:rsidRPr="00233EC4" w:rsidP="001A531C">
      <w:pPr>
        <w:pStyle w:val="BodyText"/>
      </w:pPr>
      <w:r w:rsidRPr="00233EC4">
        <w:t>In doing this, the cand</w:t>
      </w:r>
      <w:r w:rsidRPr="00233EC4">
        <w:t>idate must:</w:t>
      </w:r>
    </w:p>
    <w:p w:rsidR="00000000" w:rsidRPr="00233EC4" w:rsidP="00233EC4">
      <w:pPr>
        <w:pStyle w:val="ListBullet"/>
      </w:pPr>
      <w:r w:rsidRPr="00233EC4">
        <w:t>prepare the base tie down system and set and anchor stone facades to specifications</w:t>
      </w:r>
    </w:p>
    <w:p w:rsidR="00000000" w:rsidRPr="00233EC4" w:rsidP="00233EC4">
      <w:pPr>
        <w:pStyle w:val="ListBullet"/>
      </w:pPr>
      <w:r w:rsidRPr="00233EC4">
        <w:t xml:space="preserve">set stone facades around an opening </w:t>
      </w:r>
    </w:p>
    <w:p w:rsidR="00000000" w:rsidRPr="00233EC4" w:rsidP="00233EC4">
      <w:pPr>
        <w:pStyle w:val="ListBullet"/>
      </w:pPr>
      <w:r w:rsidRPr="00233EC4">
        <w:t>fix stone facades into an internal or external corner.</w:t>
      </w:r>
    </w:p>
    <w:p w:rsidR="00000000" w:rsidRPr="00233EC4" w:rsidP="00233EC4">
      <w:pPr>
        <w:pStyle w:val="AllowPageBreak"/>
      </w:pPr>
    </w:p>
    <w:p w:rsidR="00000000" w:rsidRPr="00233EC4" w:rsidP="00233EC4">
      <w:pPr>
        <w:pStyle w:val="Heading1"/>
      </w:pPr>
      <w:bookmarkStart w:id="3" w:name="O_1295857"/>
      <w:bookmarkEnd w:id="3"/>
      <w:r w:rsidRPr="00233EC4">
        <w:t>Knowledge Evidence</w:t>
      </w:r>
    </w:p>
    <w:p w:rsidR="00000000" w:rsidRPr="00233EC4" w:rsidP="001A531C">
      <w:pPr>
        <w:pStyle w:val="BodyText"/>
      </w:pPr>
      <w:r w:rsidRPr="00233EC4">
        <w:t>To be competent in this unit, a person must demonstrate knowledge of:</w:t>
      </w:r>
    </w:p>
    <w:p w:rsidR="00000000" w:rsidRPr="00233EC4" w:rsidP="00233EC4">
      <w:pPr>
        <w:pStyle w:val="ListBullet"/>
      </w:pPr>
      <w:r w:rsidRPr="00233EC4">
        <w:t xml:space="preserve">characteristics, applications and limitations of specified materials and components used in anchoring stone facades </w:t>
      </w:r>
    </w:p>
    <w:p w:rsidR="00000000" w:rsidRPr="00233EC4" w:rsidP="00233EC4">
      <w:pPr>
        <w:pStyle w:val="ListBullet"/>
      </w:pPr>
      <w:r w:rsidRPr="00233EC4">
        <w:t>processes and techniques for fixing facade stone onto:</w:t>
      </w:r>
    </w:p>
    <w:p w:rsidR="00000000" w:rsidRPr="00233EC4" w:rsidP="00233EC4">
      <w:pPr>
        <w:pStyle w:val="ListBullet2"/>
      </w:pPr>
      <w:r w:rsidRPr="00233EC4">
        <w:t>brick/concre</w:t>
      </w:r>
      <w:r w:rsidRPr="00233EC4">
        <w:t>te masonry walls</w:t>
      </w:r>
    </w:p>
    <w:p w:rsidR="00000000" w:rsidRPr="00233EC4" w:rsidP="00233EC4">
      <w:pPr>
        <w:pStyle w:val="ListBullet2"/>
      </w:pPr>
      <w:r w:rsidRPr="00233EC4">
        <w:t>in situ, reinforced concrete</w:t>
      </w:r>
    </w:p>
    <w:p w:rsidR="00000000" w:rsidRPr="00233EC4" w:rsidP="00233EC4">
      <w:pPr>
        <w:pStyle w:val="ListBullet2"/>
      </w:pPr>
      <w:r w:rsidRPr="00233EC4">
        <w:t xml:space="preserve">pre-cast reinforced concrete </w:t>
      </w:r>
    </w:p>
    <w:p w:rsidR="00000000" w:rsidRPr="00233EC4" w:rsidP="00233EC4">
      <w:pPr>
        <w:pStyle w:val="ListBullet2"/>
      </w:pPr>
      <w:r w:rsidRPr="00233EC4">
        <w:t>structural steel framing</w:t>
      </w:r>
    </w:p>
    <w:p w:rsidR="00000000" w:rsidRPr="00233EC4" w:rsidP="00233EC4">
      <w:pPr>
        <w:pStyle w:val="ListBullet"/>
      </w:pPr>
      <w:r w:rsidRPr="00233EC4">
        <w:t>methods of fixing stone facades:</w:t>
      </w:r>
    </w:p>
    <w:p w:rsidR="00000000" w:rsidRPr="00233EC4" w:rsidP="00233EC4">
      <w:pPr>
        <w:pStyle w:val="ListBullet2"/>
      </w:pPr>
      <w:r w:rsidRPr="00233EC4">
        <w:t>S hook</w:t>
      </w:r>
    </w:p>
    <w:p w:rsidR="00000000" w:rsidRPr="00233EC4" w:rsidP="00233EC4">
      <w:pPr>
        <w:pStyle w:val="ListBullet2"/>
      </w:pPr>
      <w:r w:rsidRPr="00233EC4">
        <w:t xml:space="preserve">back clamp </w:t>
      </w:r>
    </w:p>
    <w:p w:rsidR="00000000" w:rsidRPr="00233EC4" w:rsidP="00233EC4">
      <w:pPr>
        <w:pStyle w:val="ListBullet2"/>
      </w:pPr>
      <w:r w:rsidRPr="00233EC4">
        <w:t>corbel plate bracket</w:t>
      </w:r>
    </w:p>
    <w:p w:rsidR="00000000" w:rsidRPr="00233EC4" w:rsidP="00233EC4">
      <w:pPr>
        <w:pStyle w:val="ListBullet2"/>
      </w:pPr>
      <w:r w:rsidRPr="00233EC4">
        <w:t>dog cramp</w:t>
      </w:r>
    </w:p>
    <w:p w:rsidR="00000000" w:rsidRPr="00233EC4" w:rsidP="00233EC4">
      <w:pPr>
        <w:pStyle w:val="ListBullet2"/>
      </w:pPr>
      <w:r w:rsidRPr="00233EC4">
        <w:t>fish tailed cramp</w:t>
      </w:r>
    </w:p>
    <w:p w:rsidR="00000000" w:rsidRPr="00233EC4" w:rsidP="00233EC4">
      <w:pPr>
        <w:pStyle w:val="ListBullet2"/>
      </w:pPr>
      <w:r w:rsidRPr="00233EC4">
        <w:t>pin bracket</w:t>
      </w:r>
    </w:p>
    <w:p w:rsidR="00000000" w:rsidRPr="00233EC4" w:rsidP="00233EC4">
      <w:pPr>
        <w:pStyle w:val="ListBullet2"/>
      </w:pPr>
      <w:r w:rsidRPr="00233EC4">
        <w:t>slotted bracket</w:t>
      </w:r>
    </w:p>
    <w:p w:rsidR="00000000" w:rsidRPr="00233EC4" w:rsidP="00233EC4">
      <w:pPr>
        <w:pStyle w:val="ListBullet2"/>
      </w:pPr>
      <w:r w:rsidRPr="00233EC4">
        <w:t>turned end cramp</w:t>
      </w:r>
    </w:p>
    <w:p w:rsidR="00000000" w:rsidRPr="00233EC4" w:rsidP="00233EC4">
      <w:pPr>
        <w:pStyle w:val="ListBullet"/>
      </w:pPr>
      <w:r w:rsidRPr="00233EC4">
        <w:t>construction terminology relating to anchor stone facades</w:t>
      </w:r>
    </w:p>
    <w:p w:rsidR="00000000" w:rsidRPr="00233EC4" w:rsidP="00233EC4">
      <w:pPr>
        <w:pStyle w:val="ListBullet"/>
      </w:pPr>
      <w:r w:rsidRPr="00233EC4">
        <w:t>masonry expansion and growth, control and articulation joints</w:t>
      </w:r>
    </w:p>
    <w:p w:rsidR="00000000" w:rsidRPr="00233EC4" w:rsidP="00233EC4">
      <w:pPr>
        <w:pStyle w:val="ListBullet"/>
      </w:pPr>
      <w:r w:rsidRPr="00233EC4">
        <w:t>types and safe use of lifting equipment</w:t>
      </w:r>
    </w:p>
    <w:p w:rsidR="00000000" w:rsidRPr="00233EC4" w:rsidP="00233EC4">
      <w:pPr>
        <w:pStyle w:val="ListBullet"/>
      </w:pPr>
      <w:r w:rsidRPr="00233EC4">
        <w:t>functional and operational features of plant, equipment and hand and power tools:</w:t>
      </w:r>
    </w:p>
    <w:p w:rsidR="00000000" w:rsidRPr="00233EC4" w:rsidP="00233EC4">
      <w:pPr>
        <w:pStyle w:val="ListBullet2"/>
      </w:pPr>
      <w:r w:rsidRPr="00233EC4">
        <w:t xml:space="preserve">lifting gear </w:t>
      </w:r>
      <w:r w:rsidRPr="00233EC4">
        <w:t>and equipment</w:t>
      </w:r>
    </w:p>
    <w:p w:rsidR="00000000" w:rsidRPr="00233EC4" w:rsidP="00233EC4">
      <w:pPr>
        <w:pStyle w:val="ListBullet2"/>
      </w:pPr>
      <w:r w:rsidRPr="00233EC4">
        <w:t>air compressor and hoses</w:t>
      </w:r>
    </w:p>
    <w:p w:rsidR="00000000" w:rsidRPr="00233EC4" w:rsidP="00233EC4">
      <w:pPr>
        <w:pStyle w:val="ListBullet2"/>
      </w:pPr>
      <w:r w:rsidRPr="00233EC4">
        <w:t>power grinders</w:t>
      </w:r>
    </w:p>
    <w:p w:rsidR="00000000" w:rsidRPr="00233EC4" w:rsidP="00233EC4">
      <w:pPr>
        <w:pStyle w:val="ListBullet2"/>
      </w:pPr>
      <w:r w:rsidRPr="00233EC4">
        <w:t>impact drills</w:t>
      </w:r>
    </w:p>
    <w:p w:rsidR="00000000" w:rsidRPr="00233EC4" w:rsidP="00233EC4">
      <w:pPr>
        <w:pStyle w:val="ListBullet2"/>
      </w:pPr>
      <w:r w:rsidRPr="00233EC4">
        <w:t xml:space="preserve">battery operated tools </w:t>
      </w:r>
    </w:p>
    <w:p w:rsidR="00000000" w:rsidRPr="00233EC4" w:rsidP="00233EC4">
      <w:pPr>
        <w:pStyle w:val="ListBullet"/>
      </w:pPr>
      <w:r w:rsidRPr="00233EC4">
        <w:t>workplace processes and procedures</w:t>
      </w:r>
    </w:p>
    <w:p w:rsidR="00000000" w:rsidRPr="00233EC4" w:rsidP="00233EC4">
      <w:pPr>
        <w:pStyle w:val="ListBullet"/>
      </w:pPr>
      <w:r w:rsidRPr="00233EC4">
        <w:t>workplace safety:</w:t>
      </w:r>
    </w:p>
    <w:p w:rsidR="00000000" w:rsidRPr="00233EC4" w:rsidP="00233EC4">
      <w:pPr>
        <w:pStyle w:val="ListBullet2"/>
      </w:pPr>
      <w:r w:rsidRPr="00233EC4">
        <w:t>exposure to silica</w:t>
      </w:r>
    </w:p>
    <w:p w:rsidR="00000000" w:rsidRPr="00233EC4" w:rsidP="00233EC4">
      <w:pPr>
        <w:pStyle w:val="ListBullet2"/>
      </w:pPr>
      <w:r w:rsidRPr="00233EC4">
        <w:t>job safety and environmental analysis (JSEA)</w:t>
      </w:r>
    </w:p>
    <w:p w:rsidR="00000000" w:rsidRPr="00233EC4" w:rsidP="00233EC4">
      <w:pPr>
        <w:pStyle w:val="ListBullet2"/>
      </w:pPr>
      <w:r w:rsidRPr="00233EC4">
        <w:t>hazardous manual tasks</w:t>
      </w:r>
    </w:p>
    <w:p w:rsidR="00000000" w:rsidRPr="00233EC4" w:rsidP="00233EC4">
      <w:pPr>
        <w:pStyle w:val="ListBullet2"/>
      </w:pPr>
      <w:r w:rsidRPr="00233EC4">
        <w:t>working at heights</w:t>
      </w:r>
    </w:p>
    <w:p w:rsidR="00000000" w:rsidRPr="00233EC4" w:rsidP="00233EC4">
      <w:pPr>
        <w:pStyle w:val="ListBullet2"/>
      </w:pPr>
      <w:r w:rsidRPr="00233EC4">
        <w:t>exposure to excessive noise</w:t>
      </w:r>
    </w:p>
    <w:p w:rsidR="00000000" w:rsidRPr="00233EC4" w:rsidP="00233EC4">
      <w:pPr>
        <w:pStyle w:val="ListBullet2"/>
      </w:pPr>
      <w:r w:rsidRPr="00233EC4">
        <w:t>hazardous substances</w:t>
      </w:r>
    </w:p>
    <w:p w:rsidR="00000000" w:rsidRPr="00233EC4" w:rsidP="00233EC4">
      <w:pPr>
        <w:pStyle w:val="ListBullet"/>
      </w:pPr>
      <w:r w:rsidRPr="00233EC4">
        <w:t>features of working drawings and specifications</w:t>
      </w:r>
    </w:p>
    <w:p w:rsidR="00000000" w:rsidRPr="00233EC4" w:rsidP="00233EC4">
      <w:pPr>
        <w:pStyle w:val="ListBullet"/>
      </w:pPr>
      <w:r w:rsidRPr="00233EC4">
        <w:t>environmental requirements for workplace processes and waste disposal</w:t>
      </w:r>
    </w:p>
    <w:p w:rsidR="00000000" w:rsidRPr="00233EC4" w:rsidP="00233EC4">
      <w:pPr>
        <w:pStyle w:val="ListBullet"/>
      </w:pPr>
      <w:r w:rsidRPr="00233EC4">
        <w:t>digital technology to source information and communicate with others</w:t>
      </w:r>
    </w:p>
    <w:p w:rsidR="00000000" w:rsidRPr="00233EC4" w:rsidP="00233EC4">
      <w:pPr>
        <w:pStyle w:val="ListBullet"/>
      </w:pPr>
      <w:r w:rsidRPr="00233EC4">
        <w:t xml:space="preserve">fire control and separation requirements </w:t>
      </w:r>
    </w:p>
    <w:p w:rsidR="00000000" w:rsidRPr="00233EC4" w:rsidP="00233EC4">
      <w:pPr>
        <w:pStyle w:val="ListBullet"/>
      </w:pPr>
      <w:r w:rsidRPr="00233EC4">
        <w:t>key requirements of National Construction Code (NCC) relevant to stone facades.</w:t>
      </w:r>
    </w:p>
    <w:p w:rsidR="00000000" w:rsidRPr="00233EC4" w:rsidP="00233EC4">
      <w:pPr>
        <w:pStyle w:val="AllowPageBreak"/>
      </w:pPr>
    </w:p>
    <w:p w:rsidR="00000000" w:rsidRPr="00233EC4" w:rsidP="00233EC4">
      <w:pPr>
        <w:pStyle w:val="Heading1"/>
      </w:pPr>
      <w:bookmarkStart w:id="4" w:name="O_1295856"/>
      <w:bookmarkEnd w:id="4"/>
      <w:r w:rsidRPr="00233EC4">
        <w:t>Assessment Conditions</w:t>
      </w:r>
    </w:p>
    <w:p w:rsidR="00000000" w:rsidRPr="00233EC4" w:rsidP="001A531C">
      <w:pPr>
        <w:pStyle w:val="BodyText"/>
      </w:pPr>
      <w:r w:rsidRPr="00233EC4">
        <w:t xml:space="preserve">Assessors must meet the requirements for assessors contained in the Standards for Registered </w:t>
      </w:r>
      <w:r w:rsidRPr="00233EC4">
        <w:t xml:space="preserve">Training Organisations. </w:t>
      </w:r>
    </w:p>
    <w:p w:rsidR="00000000" w:rsidRPr="00233EC4" w:rsidP="001A531C">
      <w:pPr>
        <w:pStyle w:val="BodyText"/>
      </w:pPr>
      <w:r w:rsidRPr="00233EC4">
        <w:t>This unit must be assessed in the workplace or a close simulation reflecting workplace conditions and standards, materials, equipment, activities, responsibilities, procedures, safety requirements and environmental considerations.</w:t>
      </w:r>
    </w:p>
    <w:p w:rsidR="00000000" w:rsidRPr="00233EC4" w:rsidP="00233EC4">
      <w:pPr>
        <w:pStyle w:val="Heading1"/>
      </w:pPr>
      <w:bookmarkStart w:id="5" w:name="O_1295869"/>
      <w:bookmarkEnd w:id="5"/>
      <w:r w:rsidRPr="00233EC4">
        <w:t>Links</w:t>
      </w:r>
    </w:p>
    <w:p w:rsidR="00000000" w:rsidRPr="00233EC4" w:rsidP="001A531C">
      <w:pPr>
        <w:pStyle w:val="BodyText"/>
      </w:pPr>
      <w:r w:rsidRPr="00233EC4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332C97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233EC4" w:rsidP="00233EC4"/>
    <w:sectPr w:rsidSect="00233EC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E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EC4" w:rsidRPr="001A531C" w:rsidP="001A53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E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31C" w:rsidP="00233E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A531C" w:rsidP="00233E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1A531C" w:rsidP="00233E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E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3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3EC4" w:rsidRPr="001A531C" w:rsidP="001A53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E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31C" w:rsidRPr="002D2AF8" w:rsidP="00233E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CPCCST3014 Set and anchor stone facades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1A531C" w:rsidP="00233E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25A42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CA02A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1CCB6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3E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3E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3E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3E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3E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3E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3E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3E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3E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3E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3E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3EC4"/>
  </w:style>
  <w:style w:type="character" w:customStyle="1" w:styleId="Heading1Char">
    <w:name w:val="Heading 1 Char"/>
    <w:basedOn w:val="DefaultParagraphFont"/>
    <w:link w:val="Heading1"/>
    <w:rsid w:val="00233E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3E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3EC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33EC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33EC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33E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3E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33E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3E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3E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3E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3E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3E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3E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3E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3E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3E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3E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3E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3E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3E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3E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3E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3E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3E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33EC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33E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33EC4"/>
    <w:rPr>
      <w:b/>
      <w:spacing w:val="0"/>
    </w:rPr>
  </w:style>
  <w:style w:type="paragraph" w:customStyle="1" w:styleId="SuperTitle">
    <w:name w:val="SuperTitle"/>
    <w:basedOn w:val="Title"/>
    <w:rsid w:val="00233E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3E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3E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33E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3E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3E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3E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3E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3E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3E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3E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3EC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33EC4"/>
    <w:rPr>
      <w:i/>
    </w:rPr>
  </w:style>
  <w:style w:type="paragraph" w:styleId="Caption">
    <w:name w:val="caption"/>
    <w:basedOn w:val="BodyText"/>
    <w:next w:val="Normal"/>
    <w:qFormat/>
    <w:rsid w:val="00233E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3E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3E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3EC4"/>
  </w:style>
  <w:style w:type="paragraph" w:styleId="TableofFigures">
    <w:name w:val="table of figures"/>
    <w:basedOn w:val="Normal"/>
    <w:next w:val="Normal"/>
    <w:semiHidden/>
    <w:rsid w:val="00233E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3EC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33EC4"/>
    <w:rPr>
      <w:rFonts w:ascii="Wingdings" w:hAnsi="Wingdings"/>
    </w:rPr>
  </w:style>
  <w:style w:type="paragraph" w:customStyle="1" w:styleId="TableHeading">
    <w:name w:val="Table Heading"/>
    <w:basedOn w:val="HeadingBase"/>
    <w:rsid w:val="00233E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3EC4"/>
    <w:rPr>
      <w:color w:val="0033CC"/>
      <w:u w:val="none"/>
    </w:rPr>
  </w:style>
  <w:style w:type="paragraph" w:customStyle="1" w:styleId="BodyTextRight">
    <w:name w:val="Body Text Right"/>
    <w:basedOn w:val="BodyText"/>
    <w:rsid w:val="00233E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3E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3EC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3E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3E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3E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3EC4"/>
    <w:rPr>
      <w:sz w:val="32"/>
    </w:rPr>
  </w:style>
  <w:style w:type="paragraph" w:customStyle="1" w:styleId="HeadingProcedure">
    <w:name w:val="Heading Procedure"/>
    <w:basedOn w:val="HeadingBase"/>
    <w:next w:val="Normal"/>
    <w:rsid w:val="00233E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3EC4"/>
    <w:pPr>
      <w:spacing w:before="60" w:after="60"/>
    </w:pPr>
  </w:style>
  <w:style w:type="paragraph" w:styleId="ListContinue">
    <w:name w:val="List Continue"/>
    <w:basedOn w:val="List"/>
    <w:rsid w:val="00233EC4"/>
    <w:pPr>
      <w:ind w:firstLine="0"/>
    </w:pPr>
  </w:style>
  <w:style w:type="paragraph" w:customStyle="1" w:styleId="ListNote">
    <w:name w:val="List Note"/>
    <w:basedOn w:val="List"/>
    <w:rsid w:val="00233E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3E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3E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3EC4"/>
    <w:rPr>
      <w:rFonts w:ascii="Courier New" w:hAnsi="Courier New"/>
    </w:rPr>
  </w:style>
  <w:style w:type="paragraph" w:customStyle="1" w:styleId="NoteBullet">
    <w:name w:val="Note Bullet"/>
    <w:basedOn w:val="Note"/>
    <w:rsid w:val="00233E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3E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3E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3E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3EC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33E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3E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3EC4"/>
    <w:rPr>
      <w:b/>
      <w:smallCaps/>
    </w:rPr>
  </w:style>
  <w:style w:type="paragraph" w:customStyle="1" w:styleId="TableListNumber">
    <w:name w:val="Table List Number"/>
    <w:basedOn w:val="ListNumber"/>
    <w:rsid w:val="00233E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3E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3EC4"/>
    <w:pPr>
      <w:numPr>
        <w:numId w:val="9"/>
      </w:numPr>
    </w:pPr>
  </w:style>
  <w:style w:type="paragraph" w:customStyle="1" w:styleId="ListAlpha2">
    <w:name w:val="List Alpha 2"/>
    <w:basedOn w:val="List2"/>
    <w:rsid w:val="00233EC4"/>
    <w:pPr>
      <w:numPr>
        <w:numId w:val="8"/>
      </w:numPr>
    </w:pPr>
  </w:style>
  <w:style w:type="paragraph" w:styleId="List2">
    <w:name w:val="List 2"/>
    <w:basedOn w:val="BodyText"/>
    <w:rsid w:val="00233E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3E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3E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3E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3EC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3EC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33EC4"/>
    <w:pPr>
      <w:numPr>
        <w:numId w:val="4"/>
      </w:numPr>
    </w:pPr>
  </w:style>
  <w:style w:type="paragraph" w:styleId="ListContinue2">
    <w:name w:val="List Continue 2"/>
    <w:basedOn w:val="List2"/>
    <w:rsid w:val="00233EC4"/>
    <w:pPr>
      <w:ind w:firstLine="0"/>
    </w:pPr>
  </w:style>
  <w:style w:type="paragraph" w:styleId="ListContinue3">
    <w:name w:val="List Continue 3"/>
    <w:basedOn w:val="List3"/>
    <w:rsid w:val="00233EC4"/>
    <w:pPr>
      <w:ind w:left="1021" w:firstLine="0"/>
    </w:pPr>
  </w:style>
  <w:style w:type="paragraph" w:styleId="ListContinue4">
    <w:name w:val="List Continue 4"/>
    <w:basedOn w:val="List4"/>
    <w:rsid w:val="00233EC4"/>
    <w:pPr>
      <w:ind w:firstLine="0"/>
    </w:pPr>
  </w:style>
  <w:style w:type="paragraph" w:styleId="ListContinue5">
    <w:name w:val="List Continue 5"/>
    <w:basedOn w:val="List5"/>
    <w:rsid w:val="00233EC4"/>
    <w:pPr>
      <w:ind w:firstLine="0"/>
    </w:pPr>
  </w:style>
  <w:style w:type="paragraph" w:styleId="ListNumber3">
    <w:name w:val="List Number 3"/>
    <w:basedOn w:val="List3"/>
    <w:rsid w:val="00233EC4"/>
    <w:pPr>
      <w:numPr>
        <w:numId w:val="5"/>
      </w:numPr>
    </w:pPr>
  </w:style>
  <w:style w:type="paragraph" w:styleId="ListNumber4">
    <w:name w:val="List Number 4"/>
    <w:basedOn w:val="List4"/>
    <w:rsid w:val="00233EC4"/>
    <w:pPr>
      <w:numPr>
        <w:numId w:val="6"/>
      </w:numPr>
    </w:pPr>
  </w:style>
  <w:style w:type="paragraph" w:styleId="ListNumber5">
    <w:name w:val="List Number 5"/>
    <w:basedOn w:val="List5"/>
    <w:rsid w:val="00233EC4"/>
    <w:pPr>
      <w:numPr>
        <w:numId w:val="7"/>
      </w:numPr>
    </w:pPr>
  </w:style>
  <w:style w:type="paragraph" w:styleId="BlockText">
    <w:name w:val="Block Text"/>
    <w:basedOn w:val="Normal"/>
    <w:rsid w:val="00233E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3E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3EC4"/>
    <w:rPr>
      <w:sz w:val="16"/>
      <w:vertAlign w:val="superscript"/>
    </w:rPr>
  </w:style>
  <w:style w:type="character" w:customStyle="1" w:styleId="Symbols">
    <w:name w:val="Symbols"/>
    <w:basedOn w:val="DefaultParagraphFont"/>
    <w:rsid w:val="00233EC4"/>
    <w:rPr>
      <w:rFonts w:ascii="Symbol" w:hAnsi="Symbol"/>
    </w:rPr>
  </w:style>
  <w:style w:type="character" w:customStyle="1" w:styleId="MenuOptions">
    <w:name w:val="Menu Options"/>
    <w:basedOn w:val="DefaultParagraphFont"/>
    <w:rsid w:val="00233E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3EC4"/>
    <w:rPr>
      <w:b/>
    </w:rPr>
  </w:style>
  <w:style w:type="character" w:customStyle="1" w:styleId="Underlined">
    <w:name w:val="Underlined"/>
    <w:basedOn w:val="DefaultParagraphFont"/>
    <w:rsid w:val="00233EC4"/>
    <w:rPr>
      <w:u w:val="single"/>
    </w:rPr>
  </w:style>
  <w:style w:type="paragraph" w:customStyle="1" w:styleId="TableBodyTextRight">
    <w:name w:val="Table Body Text Right"/>
    <w:basedOn w:val="TableBodyText"/>
    <w:rsid w:val="00233E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3EC4"/>
    <w:rPr>
      <w:sz w:val="18"/>
    </w:rPr>
  </w:style>
  <w:style w:type="paragraph" w:customStyle="1" w:styleId="BodySmallRight">
    <w:name w:val="Body Small Right"/>
    <w:basedOn w:val="BodyTextRight"/>
    <w:rsid w:val="00233EC4"/>
    <w:rPr>
      <w:sz w:val="18"/>
      <w:szCs w:val="18"/>
    </w:rPr>
  </w:style>
  <w:style w:type="paragraph" w:customStyle="1" w:styleId="MarginEdition">
    <w:name w:val="Margin Edition"/>
    <w:basedOn w:val="MarginNote"/>
    <w:rsid w:val="00233E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3EC4"/>
    <w:rPr>
      <w:sz w:val="2"/>
      <w:szCs w:val="2"/>
    </w:rPr>
  </w:style>
  <w:style w:type="character" w:customStyle="1" w:styleId="Small">
    <w:name w:val="Small"/>
    <w:basedOn w:val="DefaultParagraphFont"/>
    <w:rsid w:val="00233EC4"/>
    <w:rPr>
      <w:sz w:val="16"/>
    </w:rPr>
  </w:style>
  <w:style w:type="paragraph" w:customStyle="1" w:styleId="WideTable">
    <w:name w:val="Wide Table"/>
    <w:basedOn w:val="Normal"/>
    <w:rsid w:val="00233E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3EC4"/>
  </w:style>
  <w:style w:type="paragraph" w:styleId="Quote">
    <w:name w:val="Quote"/>
    <w:basedOn w:val="Heading1"/>
    <w:link w:val="QuoteChar"/>
    <w:qFormat/>
    <w:rsid w:val="00233E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3E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3EC4"/>
    <w:pPr>
      <w:pageBreakBefore/>
    </w:pPr>
  </w:style>
  <w:style w:type="paragraph" w:customStyle="1" w:styleId="Border">
    <w:name w:val="Border"/>
    <w:basedOn w:val="Normal"/>
    <w:qFormat/>
    <w:rsid w:val="00233E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3E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3E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3E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3E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3E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3E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3E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3E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3EC4"/>
    <w:rPr>
      <w:u w:val="single"/>
    </w:rPr>
  </w:style>
  <w:style w:type="character" w:customStyle="1" w:styleId="BoldandItalics">
    <w:name w:val="Bold and Italics"/>
    <w:qFormat/>
    <w:rsid w:val="00233EC4"/>
    <w:rPr>
      <w:b/>
      <w:i/>
      <w:u w:val="none"/>
    </w:rPr>
  </w:style>
  <w:style w:type="paragraph" w:styleId="BalloonText">
    <w:name w:val="Balloon Text"/>
    <w:basedOn w:val="Normal"/>
    <w:link w:val="BalloonTextChar"/>
    <w:rsid w:val="00233E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3E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3E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3E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3E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3E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3EC4"/>
    <w:pPr>
      <w:spacing w:before="0" w:after="0"/>
    </w:pPr>
  </w:style>
  <w:style w:type="paragraph" w:customStyle="1" w:styleId="BodyTextBold">
    <w:name w:val="Body Text Bold"/>
    <w:basedOn w:val="BodyText"/>
    <w:qFormat/>
    <w:rsid w:val="00233EC4"/>
    <w:rPr>
      <w:b/>
    </w:rPr>
  </w:style>
  <w:style w:type="character" w:styleId="Hyperlink">
    <w:name w:val="Hyperlink"/>
    <w:basedOn w:val="DefaultParagraphFont"/>
    <w:uiPriority w:val="99"/>
    <w:unhideWhenUsed/>
    <w:rsid w:val="001A53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406</Words>
  <Characters>2635</Characters>
  <Application>Microsoft Office Word</Application>
  <DocSecurity>0</DocSecurity>
  <Lines>79</Lines>
  <Paragraphs>70</Paragraphs>
  <ScaleCrop>false</ScaleCrop>
  <Company>Author-it Software Corporation Ltd.</Company>
  <LinksUpToDate>false</LinksUpToDate>
  <CharactersWithSpaces>2971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CPCCST3014 Set and anchor stone facades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2024-12-24T01:25:00Z</dcterms:created>
  <dcterms:modified xsi:type="dcterms:W3CDTF">2024-12-24T01:25:00Z</dcterms:modified>
</cp:coreProperties>
</file>