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A43" w:rsidP="00650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CPCCST3011 Plan monument construction</w:t>
      </w:r>
      <w:r>
        <w:fldChar w:fldCharType="end"/>
      </w:r>
    </w:p>
    <w:p w:rsidR="00650A43" w:rsidP="00650A43">
      <w:pPr>
        <w:pStyle w:val="Version"/>
        <w:sectPr w:rsidSect="003A2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2322" w:rsidP="003A2322">
      <w:pPr>
        <w:pStyle w:val="SuperHeading"/>
      </w:pPr>
      <w:r w:rsidRPr="003A2322">
        <w:t>CPCCST3011 Plan monument construction</w:t>
      </w:r>
    </w:p>
    <w:p w:rsidR="00000000" w:rsidRPr="003A2322" w:rsidP="003A2322">
      <w:pPr>
        <w:pStyle w:val="Heading1"/>
      </w:pPr>
      <w:bookmarkStart w:id="1" w:name="O_1295819"/>
      <w:bookmarkEnd w:id="1"/>
      <w:r w:rsidRPr="003A23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Updated reference to general construction induction training program.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322" w:rsidP="003A2322">
            <w:pPr>
              <w:pStyle w:val="BodyText"/>
            </w:pPr>
            <w:r w:rsidRPr="003A2322">
              <w:t>This version first released with CPC Construction, Plumbing and Services Training Package Release 5.0.</w:t>
            </w:r>
          </w:p>
          <w:p w:rsidR="00000000" w:rsidRPr="003A2322" w:rsidP="003A2322">
            <w:pPr>
              <w:pStyle w:val="BodyText"/>
            </w:pPr>
            <w:r w:rsidRPr="003A2322">
              <w:t>Supersedes and is equivalent to CPCCST301</w:t>
            </w:r>
            <w:r w:rsidRPr="003A2322">
              <w:t>1A Plan monument construction.  Updated to meet the Standards for Training Packages 2012.</w:t>
            </w:r>
          </w:p>
        </w:tc>
      </w:tr>
    </w:tbl>
    <w:p w:rsidR="00000000" w:rsidRPr="003A2322" w:rsidP="003A2322">
      <w:pPr>
        <w:pStyle w:val="BodyText"/>
      </w:pPr>
    </w:p>
    <w:p w:rsidR="00000000" w:rsidRPr="003A2322" w:rsidP="003A2322">
      <w:pPr>
        <w:pStyle w:val="AllowPageBreak"/>
      </w:pPr>
    </w:p>
    <w:p w:rsidR="00000000" w:rsidRPr="003A2322" w:rsidP="003A2322">
      <w:pPr>
        <w:pStyle w:val="Heading1"/>
      </w:pPr>
      <w:bookmarkStart w:id="2" w:name="O_1295818"/>
      <w:bookmarkEnd w:id="2"/>
      <w:r w:rsidRPr="003A2322">
        <w:t>Application</w:t>
      </w:r>
    </w:p>
    <w:p w:rsidR="00000000" w:rsidRPr="003A2322" w:rsidP="00650A43">
      <w:pPr>
        <w:pStyle w:val="BodyText"/>
      </w:pPr>
      <w:r w:rsidRPr="003A2322">
        <w:t xml:space="preserve">This unit specifies the skills and knowledge required to prepare plans and specifications for the construction phase of monuments in </w:t>
      </w:r>
      <w:r w:rsidRPr="003A2322">
        <w:t xml:space="preserve">cemeteries. It includes identifying and meeting customer needs and state and local legislative requirements. </w:t>
      </w:r>
    </w:p>
    <w:p w:rsidR="00000000" w:rsidRPr="003A2322" w:rsidP="00650A43">
      <w:pPr>
        <w:pStyle w:val="BodyText"/>
      </w:pPr>
      <w:r w:rsidRPr="003A2322">
        <w:t>This unit applies to stonemasons who work independently, in a team or under supervision to plan monument construction relating to stonemasonry wor</w:t>
      </w:r>
      <w:r w:rsidRPr="003A2322">
        <w:t>k in a workshop setting, on a new or existing structure.</w:t>
      </w:r>
    </w:p>
    <w:p w:rsidR="00000000" w:rsidRPr="003A2322" w:rsidP="00650A43">
      <w:pPr>
        <w:pStyle w:val="BodyText"/>
      </w:pPr>
      <w:r w:rsidRPr="003A2322">
        <w:t>A person working at this level would be expected to take responsibility for organising and completing tasks assigned to them without needing close supervision.</w:t>
      </w:r>
    </w:p>
    <w:p w:rsidR="00000000" w:rsidRPr="003A2322" w:rsidP="00650A43">
      <w:pPr>
        <w:pStyle w:val="BodyText"/>
      </w:pPr>
      <w:r w:rsidRPr="003A2322">
        <w:t xml:space="preserve">Completion of the general construction </w:t>
      </w:r>
      <w:r w:rsidRPr="003A2322">
        <w:t xml:space="preserve">induction training program specified by the model Code of Practice for Construction Work is required for any person who is to carry out construction work. Achievement of </w:t>
      </w:r>
      <w:r w:rsidRPr="003A2322">
        <w:rPr>
          <w:rStyle w:val="Emphasis"/>
        </w:rPr>
        <w:t>CPCWHS1001</w:t>
      </w:r>
      <w:r w:rsidRPr="003A2322">
        <w:t> </w:t>
      </w:r>
      <w:r w:rsidRPr="003A2322">
        <w:rPr>
          <w:rStyle w:val="Emphasis"/>
        </w:rPr>
        <w:t>Prepare to work safely in the construction industry</w:t>
      </w:r>
      <w:r w:rsidRPr="003A2322">
        <w:t> meets this requirement.</w:t>
      </w:r>
      <w:r w:rsidRPr="003A2322">
        <w:t xml:space="preserve"> </w:t>
      </w:r>
    </w:p>
    <w:p w:rsidR="00000000" w:rsidRPr="003A2322" w:rsidP="00650A43">
      <w:pPr>
        <w:pStyle w:val="BodyText"/>
      </w:pPr>
      <w:r w:rsidRPr="003A2322">
        <w:t xml:space="preserve">No licensing, legislative or certification requirements apply to this unit at the time of publication. </w:t>
      </w:r>
    </w:p>
    <w:p w:rsidR="00000000" w:rsidRPr="003A2322" w:rsidP="003A2322">
      <w:pPr>
        <w:pStyle w:val="Heading1"/>
      </w:pPr>
      <w:bookmarkStart w:id="3" w:name="O_1295817"/>
      <w:bookmarkEnd w:id="3"/>
      <w:r w:rsidRPr="003A2322">
        <w:t>Pre-requisite Unit</w:t>
      </w:r>
    </w:p>
    <w:p w:rsidR="00000000" w:rsidRPr="003A2322" w:rsidP="00650A43">
      <w:pPr>
        <w:pStyle w:val="BodyText"/>
      </w:pPr>
      <w:r w:rsidRPr="003A2322">
        <w:t>CPCCWHS2001 Apply WHS requirements, policies and procedures in the construction industry</w:t>
      </w:r>
    </w:p>
    <w:p w:rsidR="00000000" w:rsidRPr="003A2322" w:rsidP="003A2322">
      <w:pPr>
        <w:pStyle w:val="Heading1"/>
      </w:pPr>
      <w:bookmarkStart w:id="4" w:name="O_1295816"/>
      <w:bookmarkEnd w:id="4"/>
      <w:r w:rsidRPr="003A2322">
        <w:t>Unit Sector</w:t>
      </w:r>
    </w:p>
    <w:p w:rsidR="00000000" w:rsidRPr="003A2322" w:rsidP="00650A43">
      <w:pPr>
        <w:pStyle w:val="BodyText"/>
      </w:pPr>
      <w:r w:rsidRPr="003A2322">
        <w:t>Stonemasonry</w:t>
      </w:r>
    </w:p>
    <w:p w:rsidR="00000000" w:rsidRPr="003A2322" w:rsidP="003A2322">
      <w:pPr>
        <w:pStyle w:val="Heading1"/>
      </w:pPr>
      <w:bookmarkStart w:id="5" w:name="O_1295815"/>
      <w:bookmarkEnd w:id="5"/>
      <w:r w:rsidRPr="003A23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 xml:space="preserve">Elements describe the </w:t>
            </w:r>
            <w:r w:rsidRPr="003A2322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 xml:space="preserve">Performance criteria describe what needs to be done to </w:t>
            </w:r>
            <w:r w:rsidRPr="003A2322">
              <w:t>demonstrate achievement of the element.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Identify design and legislative requ</w:t>
            </w:r>
            <w:r w:rsidRPr="003A2322">
              <w:t>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 xml:space="preserve">Read, interpret and apply relevant information, government legislation, standards and codes appropriate to monument construction in cemeteries. 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Follow relevant information from workplace procedures, workplace safety and environmental documentation.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Determine monument design and materials with customer.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 xml:space="preserve">Check selected materials conform to proposed design. 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Select and check drawing equipment is sufficient for job design.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Prepare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Determine job priorities, time frames and sequence job tasks in consultation with others.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 xml:space="preserve">Design foundation details according to soil type and monument size. 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 xml:space="preserve">Design monument to meet the client’s requirements.  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Check design with client for approval.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Finalise design and specifications for submission.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Complete drawings applying drafting conventions and detailing joining, supporting and reinforcing requirements.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Compile specifications ensuring direct relationship with drawings and regulations.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Check drawing and specifications and edit for consistency.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322" w:rsidP="003A2322">
            <w:pPr>
              <w:pStyle w:val="BodyText"/>
            </w:pPr>
            <w:r w:rsidRPr="003A2322">
              <w:t>Print drawings and specifications in preparation for distribution.</w:t>
            </w:r>
          </w:p>
        </w:tc>
      </w:tr>
    </w:tbl>
    <w:p w:rsidR="00000000" w:rsidRPr="003A2322" w:rsidP="003A2322">
      <w:pPr>
        <w:pStyle w:val="BodyText"/>
      </w:pPr>
    </w:p>
    <w:p w:rsidR="00000000" w:rsidRPr="003A2322" w:rsidP="003A2322">
      <w:pPr>
        <w:pStyle w:val="AllowPageBreak"/>
      </w:pPr>
    </w:p>
    <w:p w:rsidR="00000000" w:rsidRPr="003A2322" w:rsidP="003A2322">
      <w:pPr>
        <w:pStyle w:val="Heading1"/>
      </w:pPr>
      <w:bookmarkStart w:id="6" w:name="O_1295814"/>
      <w:bookmarkEnd w:id="6"/>
      <w:r w:rsidRPr="003A2322">
        <w:t>Foundation Skills</w:t>
      </w:r>
    </w:p>
    <w:p w:rsidR="00000000" w:rsidRPr="003A2322" w:rsidP="00650A43">
      <w:pPr>
        <w:pStyle w:val="BodyText"/>
      </w:pPr>
      <w:r w:rsidRPr="003A2322">
        <w:t>Foundation skills essential to performance are explicit in the performance criteria of this unit of competency.</w:t>
      </w:r>
    </w:p>
    <w:p w:rsidR="00000000" w:rsidRPr="003A2322" w:rsidP="003A2322">
      <w:pPr>
        <w:pStyle w:val="Heading1"/>
      </w:pPr>
      <w:bookmarkStart w:id="7" w:name="O_1295813"/>
      <w:bookmarkEnd w:id="7"/>
      <w:r w:rsidRPr="003A2322">
        <w:t>Unit Mapping Information</w:t>
      </w:r>
    </w:p>
    <w:p w:rsidR="00000000" w:rsidRPr="003A2322" w:rsidP="00650A43">
      <w:pPr>
        <w:pStyle w:val="BodyText"/>
      </w:pPr>
      <w:r w:rsidRPr="003A2322">
        <w:t xml:space="preserve">Supersedes and is equivalent to CPCCST3011A Plan monument construction </w:t>
      </w:r>
    </w:p>
    <w:p w:rsidR="00000000" w:rsidRPr="003A2322" w:rsidP="003A2322">
      <w:pPr>
        <w:pStyle w:val="Heading1"/>
      </w:pPr>
      <w:bookmarkStart w:id="8" w:name="O_1295820"/>
      <w:bookmarkEnd w:id="8"/>
      <w:r w:rsidRPr="003A2322">
        <w:t>Links</w:t>
      </w:r>
    </w:p>
    <w:p w:rsidR="00000000" w:rsidRPr="003A2322" w:rsidP="00650A43">
      <w:pPr>
        <w:pStyle w:val="BodyText"/>
      </w:pPr>
      <w:r w:rsidRPr="003A2322">
        <w:t>Com</w:t>
      </w:r>
      <w:r w:rsidRPr="003A2322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91C0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2322" w:rsidP="00650A43">
      <w:pPr>
        <w:pStyle w:val="BodyText"/>
        <w:sectPr w:rsidSect="003A23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322" w:rsidP="003A2322">
      <w:pPr>
        <w:pStyle w:val="SuperHeading"/>
      </w:pPr>
      <w:r w:rsidRPr="003A2322">
        <w:t>Assessment Requirements for CPCCST3011 Plan mo</w:t>
      </w:r>
      <w:r w:rsidRPr="003A2322">
        <w:t>nument construction</w:t>
      </w:r>
    </w:p>
    <w:p w:rsidR="00000000" w:rsidRPr="003A2322" w:rsidP="003A2322">
      <w:pPr>
        <w:pStyle w:val="Heading1"/>
      </w:pPr>
      <w:bookmarkStart w:id="9" w:name="O_1295811"/>
      <w:bookmarkEnd w:id="9"/>
      <w:r w:rsidRPr="003A23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Updated reference to general construction induction training program.</w:t>
            </w:r>
          </w:p>
        </w:tc>
      </w:tr>
      <w:tr w:rsidTr="003A23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322">
            <w:pPr>
              <w:pStyle w:val="BodyText"/>
              <w:rPr>
                <w:lang w:val="en-NZ"/>
              </w:rPr>
            </w:pPr>
            <w:r w:rsidRPr="003A23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322" w:rsidP="003A2322">
            <w:pPr>
              <w:pStyle w:val="BodyText"/>
            </w:pPr>
            <w:r w:rsidRPr="003A2322">
              <w:t>This version first released with CPC Construction, Plumbing and Services Training Package Release 5.0.</w:t>
            </w:r>
          </w:p>
          <w:p w:rsidR="00000000" w:rsidRPr="003A2322" w:rsidP="003A2322">
            <w:pPr>
              <w:pStyle w:val="BodyText"/>
            </w:pPr>
            <w:r w:rsidRPr="003A2322">
              <w:t>Supersedes and is equivalent to CPCCST3011A Plan monument construction.  Updated to meet the Standards for Training Packages 2012.</w:t>
            </w:r>
          </w:p>
        </w:tc>
      </w:tr>
    </w:tbl>
    <w:p w:rsidR="00000000" w:rsidRPr="003A2322" w:rsidP="003A2322">
      <w:pPr>
        <w:pStyle w:val="BodyText"/>
      </w:pPr>
    </w:p>
    <w:p w:rsidR="00000000" w:rsidRPr="003A2322" w:rsidP="003A2322">
      <w:pPr>
        <w:pStyle w:val="AllowPageBreak"/>
      </w:pPr>
    </w:p>
    <w:p w:rsidR="00000000" w:rsidRPr="003A2322" w:rsidP="003A2322">
      <w:pPr>
        <w:pStyle w:val="Heading1"/>
      </w:pPr>
      <w:bookmarkStart w:id="10" w:name="O_1295810"/>
      <w:bookmarkEnd w:id="10"/>
      <w:r w:rsidRPr="003A2322">
        <w:t>Performance Evidence</w:t>
      </w:r>
    </w:p>
    <w:p w:rsidR="00000000" w:rsidRPr="003A2322" w:rsidP="00650A43">
      <w:pPr>
        <w:pStyle w:val="BodyText"/>
      </w:pPr>
      <w:r w:rsidRPr="003A2322">
        <w:t>To demonstrate competency in this unit, a candidate must meet the performance crite</w:t>
      </w:r>
      <w:r w:rsidRPr="003A2322">
        <w:t>ria of this unit by designing two different stone monuments.</w:t>
      </w:r>
    </w:p>
    <w:p w:rsidR="00000000" w:rsidRPr="003A2322" w:rsidP="00650A43">
      <w:pPr>
        <w:pStyle w:val="BodyText"/>
      </w:pPr>
      <w:r w:rsidRPr="003A2322">
        <w:t>In doing this, the candidate must:</w:t>
      </w:r>
    </w:p>
    <w:p w:rsidR="00000000" w:rsidRPr="003A2322" w:rsidP="003A2322">
      <w:pPr>
        <w:pStyle w:val="ListBullet"/>
      </w:pPr>
      <w:r w:rsidRPr="003A2322">
        <w:t>collate client information to inform design</w:t>
      </w:r>
    </w:p>
    <w:p w:rsidR="00000000" w:rsidRPr="003A2322" w:rsidP="003A2322">
      <w:pPr>
        <w:pStyle w:val="ListBullet"/>
      </w:pPr>
      <w:r w:rsidRPr="003A2322">
        <w:t>plan structural and decorative components</w:t>
      </w:r>
    </w:p>
    <w:p w:rsidR="00000000" w:rsidRPr="003A2322" w:rsidP="003A2322">
      <w:pPr>
        <w:pStyle w:val="ListBullet"/>
      </w:pPr>
      <w:r w:rsidRPr="003A2322">
        <w:t>address site regulations, caveats and construction methods</w:t>
      </w:r>
    </w:p>
    <w:p w:rsidR="00000000" w:rsidRPr="003A2322" w:rsidP="003A2322">
      <w:pPr>
        <w:pStyle w:val="ListBullet"/>
      </w:pPr>
      <w:r w:rsidRPr="003A2322">
        <w:t>present design</w:t>
      </w:r>
      <w:r w:rsidRPr="003A2322">
        <w:t xml:space="preserve"> plan for client approval.</w:t>
      </w:r>
    </w:p>
    <w:p w:rsidR="00000000" w:rsidRPr="003A2322" w:rsidP="003A2322">
      <w:pPr>
        <w:pStyle w:val="AllowPageBreak"/>
      </w:pPr>
    </w:p>
    <w:p w:rsidR="00000000" w:rsidRPr="003A2322" w:rsidP="003A2322">
      <w:pPr>
        <w:pStyle w:val="Heading1"/>
      </w:pPr>
      <w:bookmarkStart w:id="11" w:name="O_1295809"/>
      <w:bookmarkEnd w:id="11"/>
      <w:r w:rsidRPr="003A2322">
        <w:t>Knowledge Evidence</w:t>
      </w:r>
    </w:p>
    <w:p w:rsidR="00000000" w:rsidRPr="003A2322" w:rsidP="00650A43">
      <w:pPr>
        <w:pStyle w:val="BodyText"/>
      </w:pPr>
      <w:r w:rsidRPr="003A2322">
        <w:t>To be competent in this unit, a person must demonstrate knowledge of:</w:t>
      </w:r>
    </w:p>
    <w:p w:rsidR="00000000" w:rsidRPr="003A2322" w:rsidP="003A2322">
      <w:pPr>
        <w:pStyle w:val="ListBullet"/>
      </w:pPr>
      <w:r w:rsidRPr="003A2322">
        <w:t>characteristics, applications and limitation of monument materials</w:t>
      </w:r>
    </w:p>
    <w:p w:rsidR="00000000" w:rsidRPr="003A2322" w:rsidP="003A2322">
      <w:pPr>
        <w:pStyle w:val="ListBullet"/>
      </w:pPr>
      <w:r w:rsidRPr="003A2322">
        <w:t>types of natural and manufactured stone:</w:t>
      </w:r>
    </w:p>
    <w:p w:rsidR="00000000" w:rsidRPr="003A2322" w:rsidP="003A2322">
      <w:pPr>
        <w:pStyle w:val="ListBullet2"/>
      </w:pPr>
      <w:r w:rsidRPr="003A2322">
        <w:t>basalt</w:t>
      </w:r>
    </w:p>
    <w:p w:rsidR="00000000" w:rsidRPr="003A2322" w:rsidP="003A2322">
      <w:pPr>
        <w:pStyle w:val="ListBullet2"/>
      </w:pPr>
      <w:r w:rsidRPr="003A2322">
        <w:t>granite</w:t>
      </w:r>
    </w:p>
    <w:p w:rsidR="00000000" w:rsidRPr="003A2322" w:rsidP="003A2322">
      <w:pPr>
        <w:pStyle w:val="ListBullet2"/>
      </w:pPr>
      <w:r w:rsidRPr="003A2322">
        <w:t>marble</w:t>
      </w:r>
    </w:p>
    <w:p w:rsidR="00000000" w:rsidRPr="003A2322" w:rsidP="003A2322">
      <w:pPr>
        <w:pStyle w:val="ListBullet2"/>
      </w:pPr>
      <w:r w:rsidRPr="003A2322">
        <w:t>pre-cast concrete sections</w:t>
      </w:r>
    </w:p>
    <w:p w:rsidR="00000000" w:rsidRPr="003A2322" w:rsidP="003A2322">
      <w:pPr>
        <w:pStyle w:val="ListBullet2"/>
      </w:pPr>
      <w:r w:rsidRPr="003A2322">
        <w:t>reconstituted stone</w:t>
      </w:r>
    </w:p>
    <w:p w:rsidR="00000000" w:rsidRPr="003A2322" w:rsidP="003A2322">
      <w:pPr>
        <w:pStyle w:val="ListBullet"/>
      </w:pPr>
      <w:r w:rsidRPr="003A2322">
        <w:t>processes and techniques for monument construction:</w:t>
      </w:r>
    </w:p>
    <w:p w:rsidR="00000000" w:rsidRPr="003A2322" w:rsidP="003A2322">
      <w:pPr>
        <w:pStyle w:val="ListBullet2"/>
      </w:pPr>
      <w:r w:rsidRPr="003A2322">
        <w:t>headstone</w:t>
      </w:r>
    </w:p>
    <w:p w:rsidR="00000000" w:rsidRPr="003A2322" w:rsidP="003A2322">
      <w:pPr>
        <w:pStyle w:val="ListBullet2"/>
      </w:pPr>
      <w:r w:rsidRPr="003A2322">
        <w:t>cover stone</w:t>
      </w:r>
    </w:p>
    <w:p w:rsidR="00000000" w:rsidRPr="003A2322" w:rsidP="003A2322">
      <w:pPr>
        <w:pStyle w:val="ListBullet2"/>
      </w:pPr>
      <w:r w:rsidRPr="003A2322">
        <w:t>monument</w:t>
      </w:r>
    </w:p>
    <w:p w:rsidR="00000000" w:rsidRPr="003A2322" w:rsidP="003A2322">
      <w:pPr>
        <w:pStyle w:val="ListBullet2"/>
      </w:pPr>
      <w:r w:rsidRPr="003A2322">
        <w:t>front, side and back stone</w:t>
      </w:r>
    </w:p>
    <w:p w:rsidR="00000000" w:rsidRPr="003A2322" w:rsidP="003A2322">
      <w:pPr>
        <w:pStyle w:val="ListBullet2"/>
      </w:pPr>
      <w:r w:rsidRPr="003A2322">
        <w:t>foundation material</w:t>
      </w:r>
    </w:p>
    <w:p w:rsidR="00000000" w:rsidRPr="003A2322" w:rsidP="003A2322">
      <w:pPr>
        <w:pStyle w:val="ListBullet2"/>
      </w:pPr>
      <w:r w:rsidRPr="003A2322">
        <w:t>assembling and joining components</w:t>
      </w:r>
    </w:p>
    <w:p w:rsidR="00000000" w:rsidRPr="003A2322" w:rsidP="003A2322">
      <w:pPr>
        <w:pStyle w:val="ListBullet"/>
      </w:pPr>
      <w:r w:rsidRPr="003A2322">
        <w:t>features of working drawings and specifications</w:t>
      </w:r>
    </w:p>
    <w:p w:rsidR="00000000" w:rsidRPr="003A2322" w:rsidP="003A2322">
      <w:pPr>
        <w:pStyle w:val="ListBullet"/>
      </w:pPr>
      <w:r w:rsidRPr="003A2322">
        <w:t>terminology relating to monument construction</w:t>
      </w:r>
    </w:p>
    <w:p w:rsidR="00000000" w:rsidRPr="003A2322" w:rsidP="003A2322">
      <w:pPr>
        <w:pStyle w:val="ListBullet"/>
      </w:pPr>
      <w:r w:rsidRPr="003A2322">
        <w:t>masonry expansion and growth, control and articulation joints</w:t>
      </w:r>
    </w:p>
    <w:p w:rsidR="00000000" w:rsidRPr="003A2322" w:rsidP="003A2322">
      <w:pPr>
        <w:pStyle w:val="ListBullet"/>
      </w:pPr>
      <w:r w:rsidRPr="003A2322">
        <w:t>workplace procedures and workplace safety</w:t>
      </w:r>
    </w:p>
    <w:p w:rsidR="00000000" w:rsidRPr="003A2322" w:rsidP="003A2322">
      <w:pPr>
        <w:pStyle w:val="ListBullet"/>
      </w:pPr>
      <w:r w:rsidRPr="003A2322">
        <w:t xml:space="preserve">policies, procedures, work schedules relating to monument </w:t>
      </w:r>
      <w:r w:rsidRPr="003A2322">
        <w:t>construction</w:t>
      </w:r>
    </w:p>
    <w:p w:rsidR="00000000" w:rsidRPr="003A2322" w:rsidP="003A2322">
      <w:pPr>
        <w:pStyle w:val="ListBullet"/>
      </w:pPr>
      <w:r w:rsidRPr="003A2322">
        <w:t>government legislation, standards and codes relating to headstone and cemetery monuments</w:t>
      </w:r>
    </w:p>
    <w:p w:rsidR="00000000" w:rsidRPr="003A2322" w:rsidP="003A2322">
      <w:pPr>
        <w:pStyle w:val="ListBullet"/>
      </w:pPr>
      <w:r w:rsidRPr="003A2322">
        <w:t>environmental requirements for workplace processes and waste disposal</w:t>
      </w:r>
    </w:p>
    <w:p w:rsidR="00000000" w:rsidRPr="003A2322" w:rsidP="003A2322">
      <w:pPr>
        <w:pStyle w:val="ListBullet"/>
      </w:pPr>
      <w:r w:rsidRPr="003A2322">
        <w:t>using digital tools and devices to source information and communicate with others.</w:t>
      </w:r>
    </w:p>
    <w:p w:rsidR="00000000" w:rsidRPr="003A2322" w:rsidP="003A2322">
      <w:pPr>
        <w:pStyle w:val="AllowPageBreak"/>
      </w:pPr>
    </w:p>
    <w:p w:rsidR="00000000" w:rsidRPr="003A2322" w:rsidP="003A2322">
      <w:pPr>
        <w:pStyle w:val="Heading1"/>
      </w:pPr>
      <w:bookmarkStart w:id="12" w:name="O_1295808"/>
      <w:bookmarkEnd w:id="12"/>
      <w:r w:rsidRPr="003A2322">
        <w:t>Assessment Conditions</w:t>
      </w:r>
    </w:p>
    <w:p w:rsidR="00000000" w:rsidRPr="003A2322" w:rsidP="00650A43">
      <w:pPr>
        <w:pStyle w:val="BodyText"/>
      </w:pPr>
      <w:r w:rsidRPr="003A2322">
        <w:t xml:space="preserve">Assessors must meet the requirements for assessors contained in the Standards for Registered Training Organisations. </w:t>
      </w:r>
    </w:p>
    <w:p w:rsidR="00000000" w:rsidRPr="003A2322" w:rsidP="00650A43">
      <w:pPr>
        <w:pStyle w:val="BodyText"/>
      </w:pPr>
      <w:r w:rsidRPr="003A2322">
        <w:t xml:space="preserve">This unit must be assessed in the workplace or a close simulation reflecting workplace conditions </w:t>
      </w:r>
      <w:r w:rsidRPr="003A2322">
        <w:t>and standards, materials, equipment, activities, responsibilities, procedures, safety requirements and environmental considerations.</w:t>
      </w:r>
    </w:p>
    <w:p w:rsidR="00000000" w:rsidRPr="003A2322" w:rsidP="003A2322">
      <w:pPr>
        <w:pStyle w:val="Heading1"/>
      </w:pPr>
      <w:bookmarkStart w:id="13" w:name="O_1295821"/>
      <w:bookmarkEnd w:id="13"/>
      <w:r w:rsidRPr="003A2322">
        <w:t>Links</w:t>
      </w:r>
    </w:p>
    <w:p w:rsidR="00000000" w:rsidRPr="003A2322" w:rsidP="00650A43">
      <w:pPr>
        <w:pStyle w:val="BodyText"/>
      </w:pPr>
      <w:r w:rsidRPr="003A23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91C0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A2322" w:rsidP="003A2322"/>
    <w:sectPr w:rsidSect="003A23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2" w:rsidRPr="00650A43" w:rsidP="00650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A43" w:rsidP="003A2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A43" w:rsidP="003A2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0A43" w:rsidP="003A23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2" w:rsidP="003A2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0A43">
      <w:t>Approved</w:t>
    </w:r>
    <w:r w:rsidR="00650A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0A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0A43">
      <w:rPr>
        <w:noProof/>
      </w:rPr>
      <w:t>4</w:t>
    </w:r>
    <w:r>
      <w:rPr>
        <w:noProof/>
      </w:rPr>
      <w:fldChar w:fldCharType="end"/>
    </w:r>
  </w:p>
  <w:p w:rsidR="003A2322" w:rsidP="003A2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0A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0A43">
      <w:t>BuildSkills Australia</w:t>
    </w:r>
    <w:r w:rsidR="00650A43">
      <w:fldChar w:fldCharType="end"/>
    </w:r>
  </w:p>
  <w:p w:rsidR="003A2322" w:rsidP="003A2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322" w:rsidRPr="00650A43" w:rsidP="00650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A43" w:rsidRPr="002D2AF8" w:rsidP="003A2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CPCCST3011 Plan monument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0A43" w:rsidP="003A23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322" w:rsidRPr="002D2AF8" w:rsidP="003A2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0A43">
      <w:t>CPCCST3011 Plan monument construction</w:t>
    </w:r>
    <w:r w:rsidR="00650A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0A43">
      <w:rPr>
        <w:noProof/>
      </w:rPr>
      <w:t>2 March 2025</w:t>
    </w:r>
    <w:r>
      <w:fldChar w:fldCharType="end"/>
    </w:r>
  </w:p>
  <w:p w:rsidR="003A2322" w:rsidP="003A2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641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F68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F66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322"/>
  </w:style>
  <w:style w:type="character" w:customStyle="1" w:styleId="Heading1Char">
    <w:name w:val="Heading 1 Char"/>
    <w:basedOn w:val="DefaultParagraphFont"/>
    <w:link w:val="Heading1"/>
    <w:rsid w:val="003A2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3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23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2322"/>
    <w:rPr>
      <w:i/>
    </w:rPr>
  </w:style>
  <w:style w:type="paragraph" w:customStyle="1" w:styleId="SuperHeading">
    <w:name w:val="SuperHeading"/>
    <w:basedOn w:val="Normal"/>
    <w:rsid w:val="003A2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322"/>
    <w:rPr>
      <w:b/>
      <w:spacing w:val="0"/>
    </w:rPr>
  </w:style>
  <w:style w:type="paragraph" w:customStyle="1" w:styleId="SuperTitle">
    <w:name w:val="SuperTitle"/>
    <w:basedOn w:val="Title"/>
    <w:rsid w:val="003A2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3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322"/>
  </w:style>
  <w:style w:type="paragraph" w:styleId="TableofFigures">
    <w:name w:val="table of figures"/>
    <w:basedOn w:val="Normal"/>
    <w:next w:val="Normal"/>
    <w:semiHidden/>
    <w:rsid w:val="003A2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322"/>
    <w:rPr>
      <w:rFonts w:ascii="Wingdings" w:hAnsi="Wingdings"/>
    </w:rPr>
  </w:style>
  <w:style w:type="paragraph" w:customStyle="1" w:styleId="TableHeading">
    <w:name w:val="Table Heading"/>
    <w:basedOn w:val="HeadingBase"/>
    <w:rsid w:val="003A2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322"/>
    <w:rPr>
      <w:color w:val="0033CC"/>
      <w:u w:val="none"/>
    </w:rPr>
  </w:style>
  <w:style w:type="paragraph" w:customStyle="1" w:styleId="BodyTextRight">
    <w:name w:val="Body Text Right"/>
    <w:basedOn w:val="BodyText"/>
    <w:rsid w:val="003A2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322"/>
    <w:rPr>
      <w:sz w:val="32"/>
    </w:rPr>
  </w:style>
  <w:style w:type="paragraph" w:customStyle="1" w:styleId="HeadingProcedure">
    <w:name w:val="Heading Procedure"/>
    <w:basedOn w:val="HeadingBase"/>
    <w:next w:val="Normal"/>
    <w:rsid w:val="003A2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322"/>
    <w:pPr>
      <w:spacing w:before="60" w:after="60"/>
    </w:pPr>
  </w:style>
  <w:style w:type="paragraph" w:styleId="ListContinue">
    <w:name w:val="List Continue"/>
    <w:basedOn w:val="List"/>
    <w:rsid w:val="003A2322"/>
    <w:pPr>
      <w:ind w:firstLine="0"/>
    </w:pPr>
  </w:style>
  <w:style w:type="paragraph" w:customStyle="1" w:styleId="ListNote">
    <w:name w:val="List Note"/>
    <w:basedOn w:val="List"/>
    <w:rsid w:val="003A2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322"/>
    <w:rPr>
      <w:rFonts w:ascii="Courier New" w:hAnsi="Courier New"/>
    </w:rPr>
  </w:style>
  <w:style w:type="paragraph" w:customStyle="1" w:styleId="NoteBullet">
    <w:name w:val="Note Bullet"/>
    <w:basedOn w:val="Note"/>
    <w:rsid w:val="003A2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322"/>
    <w:rPr>
      <w:b/>
      <w:smallCaps/>
    </w:rPr>
  </w:style>
  <w:style w:type="paragraph" w:customStyle="1" w:styleId="TableListNumber">
    <w:name w:val="Table List Number"/>
    <w:basedOn w:val="ListNumber"/>
    <w:rsid w:val="003A2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322"/>
    <w:pPr>
      <w:numPr>
        <w:numId w:val="9"/>
      </w:numPr>
    </w:pPr>
  </w:style>
  <w:style w:type="paragraph" w:customStyle="1" w:styleId="ListAlpha2">
    <w:name w:val="List Alpha 2"/>
    <w:basedOn w:val="List2"/>
    <w:rsid w:val="003A2322"/>
    <w:pPr>
      <w:numPr>
        <w:numId w:val="8"/>
      </w:numPr>
    </w:pPr>
  </w:style>
  <w:style w:type="paragraph" w:styleId="List2">
    <w:name w:val="List 2"/>
    <w:basedOn w:val="BodyText"/>
    <w:rsid w:val="003A2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322"/>
    <w:pPr>
      <w:numPr>
        <w:numId w:val="4"/>
      </w:numPr>
    </w:pPr>
  </w:style>
  <w:style w:type="paragraph" w:styleId="ListContinue2">
    <w:name w:val="List Continue 2"/>
    <w:basedOn w:val="List2"/>
    <w:rsid w:val="003A2322"/>
    <w:pPr>
      <w:ind w:firstLine="0"/>
    </w:pPr>
  </w:style>
  <w:style w:type="paragraph" w:styleId="ListContinue3">
    <w:name w:val="List Continue 3"/>
    <w:basedOn w:val="List3"/>
    <w:rsid w:val="003A2322"/>
    <w:pPr>
      <w:ind w:left="1021" w:firstLine="0"/>
    </w:pPr>
  </w:style>
  <w:style w:type="paragraph" w:styleId="ListContinue4">
    <w:name w:val="List Continue 4"/>
    <w:basedOn w:val="List4"/>
    <w:rsid w:val="003A2322"/>
    <w:pPr>
      <w:ind w:firstLine="0"/>
    </w:pPr>
  </w:style>
  <w:style w:type="paragraph" w:styleId="ListContinue5">
    <w:name w:val="List Continue 5"/>
    <w:basedOn w:val="List5"/>
    <w:rsid w:val="003A2322"/>
    <w:pPr>
      <w:ind w:firstLine="0"/>
    </w:pPr>
  </w:style>
  <w:style w:type="paragraph" w:styleId="ListNumber3">
    <w:name w:val="List Number 3"/>
    <w:basedOn w:val="List3"/>
    <w:rsid w:val="003A2322"/>
    <w:pPr>
      <w:numPr>
        <w:numId w:val="5"/>
      </w:numPr>
    </w:pPr>
  </w:style>
  <w:style w:type="paragraph" w:styleId="ListNumber4">
    <w:name w:val="List Number 4"/>
    <w:basedOn w:val="List4"/>
    <w:rsid w:val="003A2322"/>
    <w:pPr>
      <w:numPr>
        <w:numId w:val="6"/>
      </w:numPr>
    </w:pPr>
  </w:style>
  <w:style w:type="paragraph" w:styleId="ListNumber5">
    <w:name w:val="List Number 5"/>
    <w:basedOn w:val="List5"/>
    <w:rsid w:val="003A2322"/>
    <w:pPr>
      <w:numPr>
        <w:numId w:val="7"/>
      </w:numPr>
    </w:pPr>
  </w:style>
  <w:style w:type="paragraph" w:styleId="BlockText">
    <w:name w:val="Block Text"/>
    <w:basedOn w:val="Normal"/>
    <w:rsid w:val="003A2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322"/>
    <w:rPr>
      <w:sz w:val="16"/>
      <w:vertAlign w:val="superscript"/>
    </w:rPr>
  </w:style>
  <w:style w:type="character" w:customStyle="1" w:styleId="Symbols">
    <w:name w:val="Symbols"/>
    <w:basedOn w:val="DefaultParagraphFont"/>
    <w:rsid w:val="003A2322"/>
    <w:rPr>
      <w:rFonts w:ascii="Symbol" w:hAnsi="Symbol"/>
    </w:rPr>
  </w:style>
  <w:style w:type="character" w:customStyle="1" w:styleId="MenuOptions">
    <w:name w:val="Menu Options"/>
    <w:basedOn w:val="DefaultParagraphFont"/>
    <w:rsid w:val="003A2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322"/>
    <w:rPr>
      <w:b/>
    </w:rPr>
  </w:style>
  <w:style w:type="character" w:customStyle="1" w:styleId="Underlined">
    <w:name w:val="Underlined"/>
    <w:basedOn w:val="DefaultParagraphFont"/>
    <w:rsid w:val="003A2322"/>
    <w:rPr>
      <w:u w:val="single"/>
    </w:rPr>
  </w:style>
  <w:style w:type="paragraph" w:customStyle="1" w:styleId="TableBodyTextRight">
    <w:name w:val="Table Body Text Right"/>
    <w:basedOn w:val="TableBodyText"/>
    <w:rsid w:val="003A2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322"/>
    <w:rPr>
      <w:sz w:val="18"/>
    </w:rPr>
  </w:style>
  <w:style w:type="paragraph" w:customStyle="1" w:styleId="BodySmallRight">
    <w:name w:val="Body Small Right"/>
    <w:basedOn w:val="BodyTextRight"/>
    <w:rsid w:val="003A2322"/>
    <w:rPr>
      <w:sz w:val="18"/>
      <w:szCs w:val="18"/>
    </w:rPr>
  </w:style>
  <w:style w:type="paragraph" w:customStyle="1" w:styleId="MarginEdition">
    <w:name w:val="Margin Edition"/>
    <w:basedOn w:val="MarginNote"/>
    <w:rsid w:val="003A2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322"/>
    <w:rPr>
      <w:sz w:val="2"/>
      <w:szCs w:val="2"/>
    </w:rPr>
  </w:style>
  <w:style w:type="character" w:customStyle="1" w:styleId="Small">
    <w:name w:val="Small"/>
    <w:basedOn w:val="DefaultParagraphFont"/>
    <w:rsid w:val="003A2322"/>
    <w:rPr>
      <w:sz w:val="16"/>
    </w:rPr>
  </w:style>
  <w:style w:type="paragraph" w:customStyle="1" w:styleId="WideTable">
    <w:name w:val="Wide Table"/>
    <w:basedOn w:val="Normal"/>
    <w:rsid w:val="003A2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322"/>
  </w:style>
  <w:style w:type="paragraph" w:styleId="Quote">
    <w:name w:val="Quote"/>
    <w:basedOn w:val="Heading1"/>
    <w:link w:val="QuoteChar"/>
    <w:qFormat/>
    <w:rsid w:val="003A2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322"/>
    <w:pPr>
      <w:pageBreakBefore/>
    </w:pPr>
  </w:style>
  <w:style w:type="paragraph" w:customStyle="1" w:styleId="Border">
    <w:name w:val="Border"/>
    <w:basedOn w:val="Normal"/>
    <w:qFormat/>
    <w:rsid w:val="003A2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322"/>
    <w:rPr>
      <w:u w:val="single"/>
    </w:rPr>
  </w:style>
  <w:style w:type="character" w:customStyle="1" w:styleId="BoldandItalics">
    <w:name w:val="Bold and Italics"/>
    <w:qFormat/>
    <w:rsid w:val="003A2322"/>
    <w:rPr>
      <w:b/>
      <w:i/>
      <w:u w:val="none"/>
    </w:rPr>
  </w:style>
  <w:style w:type="paragraph" w:styleId="BalloonText">
    <w:name w:val="Balloon Text"/>
    <w:basedOn w:val="Normal"/>
    <w:link w:val="BalloonTextChar"/>
    <w:rsid w:val="003A2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322"/>
    <w:pPr>
      <w:spacing w:before="0" w:after="0"/>
    </w:pPr>
  </w:style>
  <w:style w:type="paragraph" w:customStyle="1" w:styleId="BodyTextBold">
    <w:name w:val="Body Text Bold"/>
    <w:basedOn w:val="BodyText"/>
    <w:qFormat/>
    <w:rsid w:val="003A2322"/>
    <w:rPr>
      <w:b/>
    </w:rPr>
  </w:style>
  <w:style w:type="character" w:styleId="Hyperlink">
    <w:name w:val="Hyperlink"/>
    <w:basedOn w:val="DefaultParagraphFont"/>
    <w:uiPriority w:val="99"/>
    <w:unhideWhenUsed/>
    <w:rsid w:val="00650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5155</Characters>
  <Application>Microsoft Office Word</Application>
  <DocSecurity>0</DocSecurity>
  <Lines>198</Lines>
  <Paragraphs>123</Paragraphs>
  <ScaleCrop>false</ScaleCrop>
  <Company>Author-it Software Corporation Ltd.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CPCCST3011 Plan monument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2025-03-01T14:52:00Z</dcterms:created>
  <dcterms:modified xsi:type="dcterms:W3CDTF">2025-03-01T14:52:00Z</dcterms:modified>
</cp:coreProperties>
</file>