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81B" w:rsidP="007418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CPCCST3007 Turn stone</w:t>
      </w:r>
      <w:r>
        <w:fldChar w:fldCharType="end"/>
      </w:r>
    </w:p>
    <w:p w:rsidR="0074181B" w:rsidP="0074181B">
      <w:pPr>
        <w:pStyle w:val="Version"/>
        <w:sectPr w:rsidSect="009059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59A4" w:rsidP="009059A4">
      <w:pPr>
        <w:pStyle w:val="SuperHeading"/>
      </w:pPr>
      <w:r w:rsidRPr="009059A4">
        <w:t>CPCCST3007 Turn stone</w:t>
      </w:r>
    </w:p>
    <w:p w:rsidR="00000000" w:rsidRPr="009059A4" w:rsidP="009059A4">
      <w:pPr>
        <w:pStyle w:val="Heading1"/>
      </w:pPr>
      <w:bookmarkStart w:id="1" w:name="O_1295771"/>
      <w:bookmarkEnd w:id="1"/>
      <w:r w:rsidRPr="009059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Updated reference to general construction induction training program.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9A4" w:rsidP="009059A4">
            <w:pPr>
              <w:pStyle w:val="BodyText"/>
            </w:pPr>
            <w:r w:rsidRPr="009059A4">
              <w:t>This version first released with CPC Construction, Plumbing and Services Training Package Release 5.0.</w:t>
            </w:r>
          </w:p>
          <w:p w:rsidR="00000000" w:rsidRPr="009059A4" w:rsidP="009059A4">
            <w:pPr>
              <w:pStyle w:val="BodyText"/>
            </w:pPr>
            <w:r w:rsidRPr="009059A4">
              <w:t>Supersedes and is equivalent to CPCCST3007A Turn stone.  Updat</w:t>
            </w:r>
            <w:r w:rsidRPr="009059A4">
              <w:t>ed to meet the Standards for Training Packages 2012.</w:t>
            </w:r>
          </w:p>
        </w:tc>
      </w:tr>
    </w:tbl>
    <w:p w:rsidR="00000000" w:rsidRPr="009059A4" w:rsidP="009059A4">
      <w:pPr>
        <w:pStyle w:val="BodyText"/>
      </w:pPr>
    </w:p>
    <w:p w:rsidR="00000000" w:rsidRPr="009059A4" w:rsidP="009059A4">
      <w:pPr>
        <w:pStyle w:val="AllowPageBreak"/>
      </w:pPr>
    </w:p>
    <w:p w:rsidR="00000000" w:rsidRPr="009059A4" w:rsidP="009059A4">
      <w:pPr>
        <w:pStyle w:val="Heading1"/>
      </w:pPr>
      <w:bookmarkStart w:id="2" w:name="O_1295770"/>
      <w:bookmarkEnd w:id="2"/>
      <w:r w:rsidRPr="009059A4">
        <w:t>Application</w:t>
      </w:r>
    </w:p>
    <w:p w:rsidR="00000000" w:rsidRPr="009059A4" w:rsidP="0074181B">
      <w:pPr>
        <w:pStyle w:val="BodyText"/>
      </w:pPr>
      <w:r w:rsidRPr="009059A4">
        <w:t>This unit specifies the skills and knowledge required to turn stone. It includes setting up and using machinery, turning stone and finishing surfaces.</w:t>
      </w:r>
    </w:p>
    <w:p w:rsidR="00000000" w:rsidRPr="009059A4" w:rsidP="0074181B">
      <w:pPr>
        <w:pStyle w:val="BodyText"/>
      </w:pPr>
      <w:r w:rsidRPr="009059A4">
        <w:t>This unit applies t</w:t>
      </w:r>
      <w:r w:rsidRPr="009059A4">
        <w:t>o stonemasons who work independently, in a team or under supervision and operate machinery relating to stone work in a workshop setting, on a new or existing structure.</w:t>
      </w:r>
    </w:p>
    <w:p w:rsidR="00000000" w:rsidRPr="009059A4" w:rsidP="0074181B">
      <w:pPr>
        <w:pStyle w:val="BodyText"/>
      </w:pPr>
      <w:r w:rsidRPr="009059A4">
        <w:t>Completion of the general construction induction training program specified by the mode</w:t>
      </w:r>
      <w:r w:rsidRPr="009059A4">
        <w:t xml:space="preserve">l Code of Practice for Construction Work is required for any person who is to carry out construction work. Achievement of </w:t>
      </w:r>
      <w:r w:rsidRPr="009059A4">
        <w:rPr>
          <w:rStyle w:val="Emphasis"/>
        </w:rPr>
        <w:t>CPCWHS1001</w:t>
      </w:r>
      <w:r w:rsidRPr="009059A4">
        <w:t> </w:t>
      </w:r>
      <w:r w:rsidRPr="009059A4">
        <w:rPr>
          <w:rStyle w:val="Emphasis"/>
        </w:rPr>
        <w:t>Prepare to work safely in the construction industry</w:t>
      </w:r>
      <w:r w:rsidRPr="009059A4">
        <w:t> meets this requirement.</w:t>
      </w:r>
    </w:p>
    <w:p w:rsidR="00000000" w:rsidRPr="009059A4" w:rsidP="0074181B">
      <w:pPr>
        <w:pStyle w:val="BodyText"/>
      </w:pPr>
      <w:r w:rsidRPr="009059A4">
        <w:t>No licensing, legislative or certification requ</w:t>
      </w:r>
      <w:r w:rsidRPr="009059A4">
        <w:t xml:space="preserve">irements apply to this unit at the time of publication. </w:t>
      </w:r>
    </w:p>
    <w:p w:rsidR="00000000" w:rsidRPr="009059A4" w:rsidP="009059A4">
      <w:pPr>
        <w:pStyle w:val="Heading1"/>
      </w:pPr>
      <w:bookmarkStart w:id="3" w:name="O_1295769"/>
      <w:bookmarkEnd w:id="3"/>
      <w:r w:rsidRPr="009059A4">
        <w:t>Pre-requisite Unit</w:t>
      </w:r>
    </w:p>
    <w:p w:rsidR="00000000" w:rsidRPr="009059A4" w:rsidP="0074181B">
      <w:pPr>
        <w:pStyle w:val="BodyText"/>
      </w:pPr>
      <w:r w:rsidRPr="009059A4">
        <w:t>CPCCWHS2001 Apply WHS requirements, policies and procedures in the construction industry</w:t>
      </w:r>
    </w:p>
    <w:p w:rsidR="00000000" w:rsidRPr="009059A4" w:rsidP="009059A4">
      <w:pPr>
        <w:pStyle w:val="Heading1"/>
      </w:pPr>
      <w:bookmarkStart w:id="4" w:name="O_1295768"/>
      <w:bookmarkEnd w:id="4"/>
      <w:r w:rsidRPr="009059A4">
        <w:t>Unit Sector</w:t>
      </w:r>
    </w:p>
    <w:p w:rsidR="00000000" w:rsidRPr="009059A4" w:rsidP="0074181B">
      <w:pPr>
        <w:pStyle w:val="BodyText"/>
      </w:pPr>
      <w:r w:rsidRPr="009059A4">
        <w:t>Stonemasonry</w:t>
      </w:r>
    </w:p>
    <w:p w:rsidR="00000000" w:rsidRPr="009059A4" w:rsidP="009059A4">
      <w:pPr>
        <w:pStyle w:val="Heading1"/>
      </w:pPr>
      <w:bookmarkStart w:id="5" w:name="O_1295767"/>
      <w:bookmarkEnd w:id="5"/>
      <w:r w:rsidRPr="009059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Performance criteria describe what needs to be done to demonstrate achievement of the element.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 xml:space="preserve">Read and interpret turn stone requirements from </w:t>
            </w:r>
            <w:r w:rsidRPr="009059A4">
              <w:t>specificat</w:t>
            </w:r>
            <w:r w:rsidRPr="009059A4">
              <w:t>ions, standards, codes and job requirements.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 xml:space="preserve">Follow requirements in workplace safety and environmental documentation and workplace procedures. 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Determine job priorities and sequence job tasks in consultation with others on site.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Identify potential hazards and determine and implement control measures.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Select and check condition of plant, equipment, tools and personal protective equipment (PPE), and report damage or faults to relevant person.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Check conformity of materials against job requirements.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Construct templates.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Select, fit correctly and use personal protective equipment (PPE) appropriate for job.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Select template material appropriate for the task.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Set out, mark design and cut to shape.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Apply template throughout the roughing out and finishing process.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Operate lathe and turn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Identify specific features and application of the lathe relevant to task requirements.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Calculate machine speeds and feed rates and conduct a pre-operation check.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Read job sheet and select, prepare and fit specified lathe cutting tools.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Align talk stock accurately ready for operation.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Calculate and set roughing and finishing areas.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Secure stone and check holding devices are applied during a dry run check.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 xml:space="preserve">Perform lathe operation systematically checking contour matches template. 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Finish and seal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Check conformity against template, turn stone and finish surface.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Remove work from lathe, clean and prepare for sealant.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Apply sealant and compounds to finished stone.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Store chemical products safely in lock up cabinet.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Clear the work area, and dispose of, reuse or recycle materials following workplace and environmental requirements.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Clean tools and equipment, check for serviceability and report damage or faults.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9A4" w:rsidP="009059A4">
            <w:pPr>
              <w:pStyle w:val="BodyText"/>
            </w:pPr>
            <w:r w:rsidRPr="009059A4">
              <w:t>Store and secure tools and equi</w:t>
            </w:r>
            <w:r w:rsidRPr="009059A4">
              <w:t>pment following workplace procedures.</w:t>
            </w:r>
          </w:p>
        </w:tc>
      </w:tr>
    </w:tbl>
    <w:p w:rsidR="00000000" w:rsidRPr="009059A4" w:rsidP="009059A4">
      <w:pPr>
        <w:pStyle w:val="BodyText"/>
      </w:pPr>
    </w:p>
    <w:p w:rsidR="00000000" w:rsidRPr="009059A4" w:rsidP="009059A4">
      <w:pPr>
        <w:pStyle w:val="AllowPageBreak"/>
      </w:pPr>
    </w:p>
    <w:p w:rsidR="00000000" w:rsidRPr="009059A4" w:rsidP="009059A4">
      <w:pPr>
        <w:pStyle w:val="Heading1"/>
      </w:pPr>
      <w:bookmarkStart w:id="6" w:name="O_1295766"/>
      <w:bookmarkEnd w:id="6"/>
      <w:r w:rsidRPr="009059A4">
        <w:t>Foundation Skills</w:t>
      </w:r>
    </w:p>
    <w:p w:rsidR="00000000" w:rsidRPr="009059A4" w:rsidP="0074181B">
      <w:pPr>
        <w:pStyle w:val="BodyText"/>
      </w:pPr>
      <w:r w:rsidRPr="009059A4">
        <w:t>Foundation skills essential to performance are explicit in the performance criteria of this unit of competency.</w:t>
      </w:r>
    </w:p>
    <w:p w:rsidR="00000000" w:rsidRPr="009059A4" w:rsidP="009059A4">
      <w:pPr>
        <w:pStyle w:val="Heading1"/>
      </w:pPr>
      <w:bookmarkStart w:id="7" w:name="O_1295765"/>
      <w:bookmarkEnd w:id="7"/>
      <w:r w:rsidRPr="009059A4">
        <w:t>Unit Mapping Information</w:t>
      </w:r>
    </w:p>
    <w:p w:rsidR="00000000" w:rsidRPr="009059A4" w:rsidP="0074181B">
      <w:pPr>
        <w:pStyle w:val="BodyText"/>
      </w:pPr>
      <w:r w:rsidRPr="009059A4">
        <w:t>Supersedes and is equivalent to CPCCST3007A Turn stone</w:t>
      </w:r>
    </w:p>
    <w:p w:rsidR="00000000" w:rsidRPr="009059A4" w:rsidP="009059A4">
      <w:pPr>
        <w:pStyle w:val="Heading1"/>
      </w:pPr>
      <w:bookmarkStart w:id="8" w:name="O_1295772"/>
      <w:bookmarkEnd w:id="8"/>
      <w:r w:rsidRPr="009059A4">
        <w:t>Links</w:t>
      </w:r>
    </w:p>
    <w:p w:rsidR="00000000" w:rsidRPr="009059A4" w:rsidP="0074181B">
      <w:pPr>
        <w:pStyle w:val="BodyText"/>
      </w:pPr>
      <w:r w:rsidRPr="009059A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71AE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059A4" w:rsidP="0074181B">
      <w:pPr>
        <w:pStyle w:val="BodyText"/>
        <w:sectPr w:rsidSect="009059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59A4" w:rsidP="009059A4">
      <w:pPr>
        <w:pStyle w:val="SuperHeading"/>
      </w:pPr>
      <w:r w:rsidRPr="009059A4">
        <w:t>Assessment Requirements for CPCCST3007 Turn stone</w:t>
      </w:r>
    </w:p>
    <w:p w:rsidR="00000000" w:rsidRPr="009059A4" w:rsidP="009059A4">
      <w:pPr>
        <w:pStyle w:val="Heading1"/>
      </w:pPr>
      <w:bookmarkStart w:id="9" w:name="O_1295763"/>
      <w:bookmarkEnd w:id="9"/>
      <w:r w:rsidRPr="009059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Updated reference to general construction induction training program.</w:t>
            </w:r>
          </w:p>
        </w:tc>
      </w:tr>
      <w:tr w:rsidTr="00905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A4">
            <w:pPr>
              <w:pStyle w:val="BodyText"/>
              <w:rPr>
                <w:lang w:val="en-NZ"/>
              </w:rPr>
            </w:pPr>
            <w:r w:rsidRPr="009059A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9A4" w:rsidP="009059A4">
            <w:pPr>
              <w:pStyle w:val="BodyText"/>
            </w:pPr>
            <w:r w:rsidRPr="009059A4">
              <w:t>This version first released with CPC Construction, Plumbing and Services Training Package Release 5.0.</w:t>
            </w:r>
          </w:p>
          <w:p w:rsidR="00000000" w:rsidRPr="009059A4" w:rsidP="009059A4">
            <w:pPr>
              <w:pStyle w:val="BodyText"/>
            </w:pPr>
            <w:r w:rsidRPr="009059A4">
              <w:t>Supersedes and is equivalent to CPCCST3007A Turn stone.  Updated to meet the Standards for Training Packages 2012.</w:t>
            </w:r>
          </w:p>
        </w:tc>
      </w:tr>
    </w:tbl>
    <w:p w:rsidR="00000000" w:rsidRPr="009059A4" w:rsidP="009059A4">
      <w:pPr>
        <w:pStyle w:val="BodyText"/>
      </w:pPr>
    </w:p>
    <w:p w:rsidR="00000000" w:rsidRPr="009059A4" w:rsidP="009059A4">
      <w:pPr>
        <w:pStyle w:val="AllowPageBreak"/>
      </w:pPr>
    </w:p>
    <w:p w:rsidR="00000000" w:rsidRPr="009059A4" w:rsidP="009059A4">
      <w:pPr>
        <w:pStyle w:val="Heading1"/>
      </w:pPr>
      <w:bookmarkStart w:id="10" w:name="O_1295762"/>
      <w:bookmarkEnd w:id="10"/>
      <w:r w:rsidRPr="009059A4">
        <w:t>Performance Evide</w:t>
      </w:r>
      <w:r w:rsidRPr="009059A4">
        <w:t>nce</w:t>
      </w:r>
    </w:p>
    <w:p w:rsidR="00000000" w:rsidRPr="009059A4" w:rsidP="0074181B">
      <w:pPr>
        <w:pStyle w:val="BodyText"/>
      </w:pPr>
      <w:r w:rsidRPr="009059A4">
        <w:t xml:space="preserve">To demonstrate competency in this unit, a candidate must meet the performance criteria of this unit by producing two different turned stone products using one hard stone and one soft stone. </w:t>
      </w:r>
    </w:p>
    <w:p w:rsidR="00000000" w:rsidRPr="009059A4" w:rsidP="0074181B">
      <w:pPr>
        <w:pStyle w:val="BodyText"/>
      </w:pPr>
      <w:r w:rsidRPr="009059A4">
        <w:t>In doing this, the candidate must:</w:t>
      </w:r>
    </w:p>
    <w:p w:rsidR="00000000" w:rsidRPr="009059A4" w:rsidP="009059A4">
      <w:pPr>
        <w:pStyle w:val="ListBullet"/>
      </w:pPr>
      <w:r w:rsidRPr="009059A4">
        <w:t>produce one parallel patt</w:t>
      </w:r>
      <w:r w:rsidRPr="009059A4">
        <w:t>ern</w:t>
      </w:r>
    </w:p>
    <w:p w:rsidR="00000000" w:rsidRPr="009059A4" w:rsidP="009059A4">
      <w:pPr>
        <w:pStyle w:val="ListBullet"/>
      </w:pPr>
      <w:r w:rsidRPr="009059A4">
        <w:t>produce one tapering pattern.</w:t>
      </w:r>
    </w:p>
    <w:p w:rsidR="00000000" w:rsidRPr="009059A4" w:rsidP="009059A4">
      <w:pPr>
        <w:pStyle w:val="AllowPageBreak"/>
      </w:pPr>
    </w:p>
    <w:p w:rsidR="00000000" w:rsidRPr="009059A4" w:rsidP="009059A4">
      <w:pPr>
        <w:pStyle w:val="Heading1"/>
      </w:pPr>
      <w:bookmarkStart w:id="11" w:name="O_1295761"/>
      <w:bookmarkEnd w:id="11"/>
      <w:r w:rsidRPr="009059A4">
        <w:t>Knowledge Evidence</w:t>
      </w:r>
    </w:p>
    <w:p w:rsidR="00000000" w:rsidRPr="009059A4" w:rsidP="0074181B">
      <w:pPr>
        <w:pStyle w:val="BodyText"/>
      </w:pPr>
      <w:r w:rsidRPr="009059A4">
        <w:t>To be competent in this unit, a person must demonstrate knowledge of:</w:t>
      </w:r>
    </w:p>
    <w:p w:rsidR="00000000" w:rsidRPr="009059A4" w:rsidP="009059A4">
      <w:pPr>
        <w:pStyle w:val="ListBullet"/>
      </w:pPr>
      <w:r w:rsidRPr="009059A4">
        <w:t>types and characteristics of natural and manufactured stone:</w:t>
      </w:r>
    </w:p>
    <w:p w:rsidR="00000000" w:rsidRPr="009059A4" w:rsidP="009059A4">
      <w:pPr>
        <w:pStyle w:val="ListBullet2"/>
      </w:pPr>
      <w:r w:rsidRPr="009059A4">
        <w:t>granite</w:t>
      </w:r>
    </w:p>
    <w:p w:rsidR="00000000" w:rsidRPr="009059A4" w:rsidP="009059A4">
      <w:pPr>
        <w:pStyle w:val="ListBullet2"/>
      </w:pPr>
      <w:r w:rsidRPr="009059A4">
        <w:t>limestone</w:t>
      </w:r>
    </w:p>
    <w:p w:rsidR="00000000" w:rsidRPr="009059A4" w:rsidP="009059A4">
      <w:pPr>
        <w:pStyle w:val="ListBullet2"/>
      </w:pPr>
      <w:r w:rsidRPr="009059A4">
        <w:t xml:space="preserve">marble </w:t>
      </w:r>
    </w:p>
    <w:p w:rsidR="00000000" w:rsidRPr="009059A4" w:rsidP="009059A4">
      <w:pPr>
        <w:pStyle w:val="ListBullet2"/>
      </w:pPr>
      <w:r w:rsidRPr="009059A4">
        <w:t>sandstone</w:t>
      </w:r>
    </w:p>
    <w:p w:rsidR="00000000" w:rsidRPr="009059A4" w:rsidP="009059A4">
      <w:pPr>
        <w:pStyle w:val="ListBullet"/>
      </w:pPr>
      <w:r w:rsidRPr="009059A4">
        <w:t>processes and techniques for turning stone:</w:t>
      </w:r>
    </w:p>
    <w:p w:rsidR="00000000" w:rsidRPr="009059A4" w:rsidP="009059A4">
      <w:pPr>
        <w:pStyle w:val="ListBullet2"/>
      </w:pPr>
      <w:r w:rsidRPr="009059A4">
        <w:t>boring</w:t>
      </w:r>
    </w:p>
    <w:p w:rsidR="00000000" w:rsidRPr="009059A4" w:rsidP="009059A4">
      <w:pPr>
        <w:pStyle w:val="ListBullet2"/>
      </w:pPr>
      <w:r w:rsidRPr="009059A4">
        <w:t>cutting</w:t>
      </w:r>
    </w:p>
    <w:p w:rsidR="00000000" w:rsidRPr="009059A4" w:rsidP="009059A4">
      <w:pPr>
        <w:pStyle w:val="ListBullet2"/>
      </w:pPr>
      <w:r w:rsidRPr="009059A4">
        <w:t>shaping to parallel</w:t>
      </w:r>
    </w:p>
    <w:p w:rsidR="00000000" w:rsidRPr="009059A4" w:rsidP="009059A4">
      <w:pPr>
        <w:pStyle w:val="ListBullet2"/>
      </w:pPr>
      <w:r w:rsidRPr="009059A4">
        <w:t>shaping to taper</w:t>
      </w:r>
    </w:p>
    <w:p w:rsidR="00000000" w:rsidRPr="009059A4" w:rsidP="009059A4">
      <w:pPr>
        <w:pStyle w:val="ListBullet2"/>
      </w:pPr>
      <w:r w:rsidRPr="009059A4">
        <w:t xml:space="preserve">shaping to template </w:t>
      </w:r>
    </w:p>
    <w:p w:rsidR="00000000" w:rsidRPr="009059A4" w:rsidP="009059A4">
      <w:pPr>
        <w:pStyle w:val="ListBullet"/>
      </w:pPr>
      <w:r w:rsidRPr="009059A4">
        <w:t>terminology relating to turning stone</w:t>
      </w:r>
    </w:p>
    <w:p w:rsidR="00000000" w:rsidRPr="009059A4" w:rsidP="009059A4">
      <w:pPr>
        <w:pStyle w:val="ListBullet"/>
      </w:pPr>
      <w:r w:rsidRPr="009059A4">
        <w:t>functional and operational features of plant, equipment and hand and power tools:</w:t>
      </w:r>
    </w:p>
    <w:p w:rsidR="00000000" w:rsidRPr="009059A4" w:rsidP="009059A4">
      <w:pPr>
        <w:pStyle w:val="ListBullet2"/>
      </w:pPr>
      <w:r w:rsidRPr="009059A4">
        <w:t>lathe</w:t>
      </w:r>
    </w:p>
    <w:p w:rsidR="00000000" w:rsidRPr="009059A4" w:rsidP="009059A4">
      <w:pPr>
        <w:pStyle w:val="ListBullet2"/>
      </w:pPr>
      <w:r w:rsidRPr="009059A4">
        <w:t>abrasive heads</w:t>
      </w:r>
    </w:p>
    <w:p w:rsidR="00000000" w:rsidRPr="009059A4" w:rsidP="009059A4">
      <w:pPr>
        <w:pStyle w:val="ListBullet2"/>
      </w:pPr>
      <w:r w:rsidRPr="009059A4">
        <w:t>abrasive sheets</w:t>
      </w:r>
    </w:p>
    <w:p w:rsidR="00000000" w:rsidRPr="009059A4" w:rsidP="009059A4">
      <w:pPr>
        <w:pStyle w:val="ListBullet2"/>
      </w:pPr>
      <w:r w:rsidRPr="009059A4">
        <w:t>grinders</w:t>
      </w:r>
    </w:p>
    <w:p w:rsidR="00000000" w:rsidRPr="009059A4" w:rsidP="009059A4">
      <w:pPr>
        <w:pStyle w:val="ListBullet2"/>
      </w:pPr>
      <w:r w:rsidRPr="009059A4">
        <w:t>range of cutting chisels</w:t>
      </w:r>
    </w:p>
    <w:p w:rsidR="00000000" w:rsidRPr="009059A4" w:rsidP="009059A4">
      <w:pPr>
        <w:pStyle w:val="ListBullet2"/>
      </w:pPr>
      <w:r w:rsidRPr="009059A4">
        <w:t>battery operated tools</w:t>
      </w:r>
    </w:p>
    <w:p w:rsidR="00000000" w:rsidRPr="009059A4" w:rsidP="009059A4">
      <w:pPr>
        <w:pStyle w:val="ListBullet"/>
      </w:pPr>
      <w:r w:rsidRPr="009059A4">
        <w:t>template materials:</w:t>
      </w:r>
    </w:p>
    <w:p w:rsidR="00000000" w:rsidRPr="009059A4" w:rsidP="009059A4">
      <w:pPr>
        <w:pStyle w:val="ListBullet2"/>
      </w:pPr>
      <w:r w:rsidRPr="009059A4">
        <w:t>aluminium sheet</w:t>
      </w:r>
    </w:p>
    <w:p w:rsidR="00000000" w:rsidRPr="009059A4" w:rsidP="009059A4">
      <w:pPr>
        <w:pStyle w:val="ListBullet2"/>
      </w:pPr>
      <w:r w:rsidRPr="009059A4">
        <w:t>cardboard</w:t>
      </w:r>
    </w:p>
    <w:p w:rsidR="00000000" w:rsidRPr="009059A4" w:rsidP="009059A4">
      <w:pPr>
        <w:pStyle w:val="ListBullet2"/>
      </w:pPr>
      <w:r w:rsidRPr="009059A4">
        <w:t>plastic sheets</w:t>
      </w:r>
    </w:p>
    <w:p w:rsidR="00000000" w:rsidRPr="009059A4" w:rsidP="009059A4">
      <w:pPr>
        <w:pStyle w:val="ListBullet2"/>
      </w:pPr>
      <w:r w:rsidRPr="009059A4">
        <w:t xml:space="preserve">plywood </w:t>
      </w:r>
    </w:p>
    <w:p w:rsidR="00000000" w:rsidRPr="009059A4" w:rsidP="009059A4">
      <w:pPr>
        <w:pStyle w:val="ListBullet2"/>
      </w:pPr>
      <w:r w:rsidRPr="009059A4">
        <w:t>zincalume sheet</w:t>
      </w:r>
    </w:p>
    <w:p w:rsidR="00000000" w:rsidRPr="009059A4" w:rsidP="009059A4">
      <w:pPr>
        <w:pStyle w:val="ListBullet"/>
      </w:pPr>
      <w:r w:rsidRPr="009059A4">
        <w:t xml:space="preserve">workplace processes and procedures </w:t>
      </w:r>
    </w:p>
    <w:p w:rsidR="00000000" w:rsidRPr="009059A4" w:rsidP="009059A4">
      <w:pPr>
        <w:pStyle w:val="ListBullet"/>
      </w:pPr>
      <w:r w:rsidRPr="009059A4">
        <w:t>workplace safety:</w:t>
      </w:r>
    </w:p>
    <w:p w:rsidR="00000000" w:rsidRPr="009059A4" w:rsidP="009059A4">
      <w:pPr>
        <w:pStyle w:val="ListBullet2"/>
      </w:pPr>
      <w:r w:rsidRPr="009059A4">
        <w:t>hierarchy of control</w:t>
      </w:r>
    </w:p>
    <w:p w:rsidR="00000000" w:rsidRPr="009059A4" w:rsidP="009059A4">
      <w:pPr>
        <w:pStyle w:val="ListBullet2"/>
      </w:pPr>
      <w:r w:rsidRPr="009059A4">
        <w:t>exposure to silica dust</w:t>
      </w:r>
    </w:p>
    <w:p w:rsidR="00000000" w:rsidRPr="009059A4" w:rsidP="009059A4">
      <w:pPr>
        <w:pStyle w:val="ListBullet2"/>
      </w:pPr>
      <w:r w:rsidRPr="009059A4">
        <w:t>hazardous manual tasks</w:t>
      </w:r>
    </w:p>
    <w:p w:rsidR="00000000" w:rsidRPr="009059A4" w:rsidP="009059A4">
      <w:pPr>
        <w:pStyle w:val="ListBullet"/>
      </w:pPr>
      <w:r w:rsidRPr="009059A4">
        <w:t>stonemasonry regulations, codes and standards</w:t>
      </w:r>
    </w:p>
    <w:p w:rsidR="00000000" w:rsidRPr="009059A4" w:rsidP="009059A4">
      <w:pPr>
        <w:pStyle w:val="ListBullet"/>
      </w:pPr>
      <w:r w:rsidRPr="009059A4">
        <w:t>environmental requirements for workplace processes and waste disposal</w:t>
      </w:r>
    </w:p>
    <w:p w:rsidR="00000000" w:rsidRPr="009059A4" w:rsidP="009059A4">
      <w:pPr>
        <w:pStyle w:val="ListBullet"/>
      </w:pPr>
      <w:r w:rsidRPr="009059A4">
        <w:t>Mohs scale of mineral hardness.</w:t>
      </w:r>
    </w:p>
    <w:p w:rsidR="00000000" w:rsidRPr="009059A4" w:rsidP="009059A4">
      <w:pPr>
        <w:pStyle w:val="AllowPageBreak"/>
      </w:pPr>
    </w:p>
    <w:p w:rsidR="00000000" w:rsidRPr="009059A4" w:rsidP="009059A4">
      <w:pPr>
        <w:pStyle w:val="Heading1"/>
      </w:pPr>
      <w:bookmarkStart w:id="12" w:name="O_1295760"/>
      <w:bookmarkEnd w:id="12"/>
      <w:r w:rsidRPr="009059A4">
        <w:t>Assessment Conditions</w:t>
      </w:r>
    </w:p>
    <w:p w:rsidR="00000000" w:rsidRPr="009059A4" w:rsidP="0074181B">
      <w:pPr>
        <w:pStyle w:val="BodyText"/>
      </w:pPr>
      <w:r w:rsidRPr="009059A4">
        <w:t>Assessors must meet</w:t>
      </w:r>
      <w:r w:rsidRPr="009059A4">
        <w:t xml:space="preserve"> the requirements for assessors contained in the Standards for Registered Training Organisations. </w:t>
      </w:r>
    </w:p>
    <w:p w:rsidR="00000000" w:rsidRPr="009059A4" w:rsidP="0074181B">
      <w:pPr>
        <w:pStyle w:val="BodyText"/>
      </w:pPr>
      <w:r w:rsidRPr="009059A4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9059A4" w:rsidP="009059A4">
      <w:pPr>
        <w:pStyle w:val="Heading1"/>
      </w:pPr>
      <w:bookmarkStart w:id="13" w:name="O_1295773"/>
      <w:bookmarkEnd w:id="13"/>
      <w:r w:rsidRPr="009059A4">
        <w:t>Links</w:t>
      </w:r>
    </w:p>
    <w:p w:rsidR="00000000" w:rsidRPr="009059A4" w:rsidP="0074181B">
      <w:pPr>
        <w:pStyle w:val="BodyText"/>
      </w:pPr>
      <w:r w:rsidRPr="009059A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71AE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059A4" w:rsidP="009059A4"/>
    <w:sectPr w:rsidSect="009059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A4" w:rsidRPr="0074181B" w:rsidP="007418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1B" w:rsidP="00905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81B" w:rsidP="00905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4181B" w:rsidP="009059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A4" w:rsidP="00905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181B">
      <w:t>Approved</w:t>
    </w:r>
    <w:r w:rsidR="007418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18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181B">
      <w:rPr>
        <w:noProof/>
      </w:rPr>
      <w:t>4</w:t>
    </w:r>
    <w:r>
      <w:rPr>
        <w:noProof/>
      </w:rPr>
      <w:fldChar w:fldCharType="end"/>
    </w:r>
  </w:p>
  <w:p w:rsidR="009059A4" w:rsidP="00905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18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181B">
      <w:t>BuildSkills Australia</w:t>
    </w:r>
    <w:r w:rsidR="0074181B">
      <w:fldChar w:fldCharType="end"/>
    </w:r>
  </w:p>
  <w:p w:rsidR="009059A4" w:rsidP="009059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9A4" w:rsidRPr="0074181B" w:rsidP="007418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1B" w:rsidRPr="002D2AF8" w:rsidP="00905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CPCCST3007 Turn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181B" w:rsidP="009059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A4" w:rsidRPr="002D2AF8" w:rsidP="00905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181B">
      <w:t>CPCCST3007 Turn stone</w:t>
    </w:r>
    <w:r w:rsidR="007418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181B">
      <w:rPr>
        <w:noProof/>
      </w:rPr>
      <w:t>2 March 2025</w:t>
    </w:r>
    <w:r>
      <w:fldChar w:fldCharType="end"/>
    </w:r>
  </w:p>
  <w:p w:rsidR="009059A4" w:rsidP="009059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5A6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305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D8C1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9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9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9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9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9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9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9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9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9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9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9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9A4"/>
  </w:style>
  <w:style w:type="character" w:customStyle="1" w:styleId="Heading1Char">
    <w:name w:val="Heading 1 Char"/>
    <w:basedOn w:val="DefaultParagraphFont"/>
    <w:link w:val="Heading1"/>
    <w:rsid w:val="009059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9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9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9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59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59A4"/>
    <w:rPr>
      <w:i/>
    </w:rPr>
  </w:style>
  <w:style w:type="paragraph" w:customStyle="1" w:styleId="SuperHeading">
    <w:name w:val="SuperHeading"/>
    <w:basedOn w:val="Normal"/>
    <w:rsid w:val="009059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9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9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9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9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9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9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9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9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9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9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9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9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9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9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9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9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9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59A4"/>
    <w:rPr>
      <w:b/>
      <w:spacing w:val="0"/>
    </w:rPr>
  </w:style>
  <w:style w:type="paragraph" w:customStyle="1" w:styleId="SuperTitle">
    <w:name w:val="SuperTitle"/>
    <w:basedOn w:val="Title"/>
    <w:rsid w:val="009059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9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9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59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9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9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9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9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9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9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9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9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59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9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9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9A4"/>
  </w:style>
  <w:style w:type="paragraph" w:styleId="TableofFigures">
    <w:name w:val="table of figures"/>
    <w:basedOn w:val="Normal"/>
    <w:next w:val="Normal"/>
    <w:semiHidden/>
    <w:rsid w:val="009059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9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59A4"/>
    <w:rPr>
      <w:rFonts w:ascii="Wingdings" w:hAnsi="Wingdings"/>
    </w:rPr>
  </w:style>
  <w:style w:type="paragraph" w:customStyle="1" w:styleId="TableHeading">
    <w:name w:val="Table Heading"/>
    <w:basedOn w:val="HeadingBase"/>
    <w:rsid w:val="009059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9A4"/>
    <w:rPr>
      <w:color w:val="0033CC"/>
      <w:u w:val="none"/>
    </w:rPr>
  </w:style>
  <w:style w:type="paragraph" w:customStyle="1" w:styleId="BodyTextRight">
    <w:name w:val="Body Text Right"/>
    <w:basedOn w:val="BodyText"/>
    <w:rsid w:val="009059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9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9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9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9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9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9A4"/>
    <w:rPr>
      <w:sz w:val="32"/>
    </w:rPr>
  </w:style>
  <w:style w:type="paragraph" w:customStyle="1" w:styleId="HeadingProcedure">
    <w:name w:val="Heading Procedure"/>
    <w:basedOn w:val="HeadingBase"/>
    <w:next w:val="Normal"/>
    <w:rsid w:val="009059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9A4"/>
    <w:pPr>
      <w:spacing w:before="60" w:after="60"/>
    </w:pPr>
  </w:style>
  <w:style w:type="paragraph" w:styleId="ListContinue">
    <w:name w:val="List Continue"/>
    <w:basedOn w:val="List"/>
    <w:rsid w:val="009059A4"/>
    <w:pPr>
      <w:ind w:firstLine="0"/>
    </w:pPr>
  </w:style>
  <w:style w:type="paragraph" w:customStyle="1" w:styleId="ListNote">
    <w:name w:val="List Note"/>
    <w:basedOn w:val="List"/>
    <w:rsid w:val="009059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9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9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9A4"/>
    <w:rPr>
      <w:rFonts w:ascii="Courier New" w:hAnsi="Courier New"/>
    </w:rPr>
  </w:style>
  <w:style w:type="paragraph" w:customStyle="1" w:styleId="NoteBullet">
    <w:name w:val="Note Bullet"/>
    <w:basedOn w:val="Note"/>
    <w:rsid w:val="009059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9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9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9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9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9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9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9A4"/>
    <w:rPr>
      <w:b/>
      <w:smallCaps/>
    </w:rPr>
  </w:style>
  <w:style w:type="paragraph" w:customStyle="1" w:styleId="TableListNumber">
    <w:name w:val="Table List Number"/>
    <w:basedOn w:val="ListNumber"/>
    <w:rsid w:val="009059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9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9A4"/>
    <w:pPr>
      <w:numPr>
        <w:numId w:val="9"/>
      </w:numPr>
    </w:pPr>
  </w:style>
  <w:style w:type="paragraph" w:customStyle="1" w:styleId="ListAlpha2">
    <w:name w:val="List Alpha 2"/>
    <w:basedOn w:val="List2"/>
    <w:rsid w:val="009059A4"/>
    <w:pPr>
      <w:numPr>
        <w:numId w:val="8"/>
      </w:numPr>
    </w:pPr>
  </w:style>
  <w:style w:type="paragraph" w:styleId="List2">
    <w:name w:val="List 2"/>
    <w:basedOn w:val="BodyText"/>
    <w:rsid w:val="009059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9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9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9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9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9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59A4"/>
    <w:pPr>
      <w:numPr>
        <w:numId w:val="4"/>
      </w:numPr>
    </w:pPr>
  </w:style>
  <w:style w:type="paragraph" w:styleId="ListContinue2">
    <w:name w:val="List Continue 2"/>
    <w:basedOn w:val="List2"/>
    <w:rsid w:val="009059A4"/>
    <w:pPr>
      <w:ind w:firstLine="0"/>
    </w:pPr>
  </w:style>
  <w:style w:type="paragraph" w:styleId="ListContinue3">
    <w:name w:val="List Continue 3"/>
    <w:basedOn w:val="List3"/>
    <w:rsid w:val="009059A4"/>
    <w:pPr>
      <w:ind w:left="1021" w:firstLine="0"/>
    </w:pPr>
  </w:style>
  <w:style w:type="paragraph" w:styleId="ListContinue4">
    <w:name w:val="List Continue 4"/>
    <w:basedOn w:val="List4"/>
    <w:rsid w:val="009059A4"/>
    <w:pPr>
      <w:ind w:firstLine="0"/>
    </w:pPr>
  </w:style>
  <w:style w:type="paragraph" w:styleId="ListContinue5">
    <w:name w:val="List Continue 5"/>
    <w:basedOn w:val="List5"/>
    <w:rsid w:val="009059A4"/>
    <w:pPr>
      <w:ind w:firstLine="0"/>
    </w:pPr>
  </w:style>
  <w:style w:type="paragraph" w:styleId="ListNumber3">
    <w:name w:val="List Number 3"/>
    <w:basedOn w:val="List3"/>
    <w:rsid w:val="009059A4"/>
    <w:pPr>
      <w:numPr>
        <w:numId w:val="5"/>
      </w:numPr>
    </w:pPr>
  </w:style>
  <w:style w:type="paragraph" w:styleId="ListNumber4">
    <w:name w:val="List Number 4"/>
    <w:basedOn w:val="List4"/>
    <w:rsid w:val="009059A4"/>
    <w:pPr>
      <w:numPr>
        <w:numId w:val="6"/>
      </w:numPr>
    </w:pPr>
  </w:style>
  <w:style w:type="paragraph" w:styleId="ListNumber5">
    <w:name w:val="List Number 5"/>
    <w:basedOn w:val="List5"/>
    <w:rsid w:val="009059A4"/>
    <w:pPr>
      <w:numPr>
        <w:numId w:val="7"/>
      </w:numPr>
    </w:pPr>
  </w:style>
  <w:style w:type="paragraph" w:styleId="BlockText">
    <w:name w:val="Block Text"/>
    <w:basedOn w:val="Normal"/>
    <w:rsid w:val="009059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9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9A4"/>
    <w:rPr>
      <w:sz w:val="16"/>
      <w:vertAlign w:val="superscript"/>
    </w:rPr>
  </w:style>
  <w:style w:type="character" w:customStyle="1" w:styleId="Symbols">
    <w:name w:val="Symbols"/>
    <w:basedOn w:val="DefaultParagraphFont"/>
    <w:rsid w:val="009059A4"/>
    <w:rPr>
      <w:rFonts w:ascii="Symbol" w:hAnsi="Symbol"/>
    </w:rPr>
  </w:style>
  <w:style w:type="character" w:customStyle="1" w:styleId="MenuOptions">
    <w:name w:val="Menu Options"/>
    <w:basedOn w:val="DefaultParagraphFont"/>
    <w:rsid w:val="009059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9A4"/>
    <w:rPr>
      <w:b/>
    </w:rPr>
  </w:style>
  <w:style w:type="character" w:customStyle="1" w:styleId="Underlined">
    <w:name w:val="Underlined"/>
    <w:basedOn w:val="DefaultParagraphFont"/>
    <w:rsid w:val="009059A4"/>
    <w:rPr>
      <w:u w:val="single"/>
    </w:rPr>
  </w:style>
  <w:style w:type="paragraph" w:customStyle="1" w:styleId="TableBodyTextRight">
    <w:name w:val="Table Body Text Right"/>
    <w:basedOn w:val="TableBodyText"/>
    <w:rsid w:val="009059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9A4"/>
    <w:rPr>
      <w:sz w:val="18"/>
    </w:rPr>
  </w:style>
  <w:style w:type="paragraph" w:customStyle="1" w:styleId="BodySmallRight">
    <w:name w:val="Body Small Right"/>
    <w:basedOn w:val="BodyTextRight"/>
    <w:rsid w:val="009059A4"/>
    <w:rPr>
      <w:sz w:val="18"/>
      <w:szCs w:val="18"/>
    </w:rPr>
  </w:style>
  <w:style w:type="paragraph" w:customStyle="1" w:styleId="MarginEdition">
    <w:name w:val="Margin Edition"/>
    <w:basedOn w:val="MarginNote"/>
    <w:rsid w:val="009059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9A4"/>
    <w:rPr>
      <w:sz w:val="2"/>
      <w:szCs w:val="2"/>
    </w:rPr>
  </w:style>
  <w:style w:type="character" w:customStyle="1" w:styleId="Small">
    <w:name w:val="Small"/>
    <w:basedOn w:val="DefaultParagraphFont"/>
    <w:rsid w:val="009059A4"/>
    <w:rPr>
      <w:sz w:val="16"/>
    </w:rPr>
  </w:style>
  <w:style w:type="paragraph" w:customStyle="1" w:styleId="WideTable">
    <w:name w:val="Wide Table"/>
    <w:basedOn w:val="Normal"/>
    <w:rsid w:val="009059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9A4"/>
  </w:style>
  <w:style w:type="paragraph" w:styleId="Quote">
    <w:name w:val="Quote"/>
    <w:basedOn w:val="Heading1"/>
    <w:link w:val="QuoteChar"/>
    <w:qFormat/>
    <w:rsid w:val="009059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9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9A4"/>
    <w:pPr>
      <w:pageBreakBefore/>
    </w:pPr>
  </w:style>
  <w:style w:type="paragraph" w:customStyle="1" w:styleId="Border">
    <w:name w:val="Border"/>
    <w:basedOn w:val="Normal"/>
    <w:qFormat/>
    <w:rsid w:val="009059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9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9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9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9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9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9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9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9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9A4"/>
    <w:rPr>
      <w:u w:val="single"/>
    </w:rPr>
  </w:style>
  <w:style w:type="character" w:customStyle="1" w:styleId="BoldandItalics">
    <w:name w:val="Bold and Italics"/>
    <w:qFormat/>
    <w:rsid w:val="009059A4"/>
    <w:rPr>
      <w:b/>
      <w:i/>
      <w:u w:val="none"/>
    </w:rPr>
  </w:style>
  <w:style w:type="paragraph" w:styleId="BalloonText">
    <w:name w:val="Balloon Text"/>
    <w:basedOn w:val="Normal"/>
    <w:link w:val="BalloonTextChar"/>
    <w:rsid w:val="009059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9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9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9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9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9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9A4"/>
    <w:pPr>
      <w:spacing w:before="0" w:after="0"/>
    </w:pPr>
  </w:style>
  <w:style w:type="paragraph" w:customStyle="1" w:styleId="BodyTextBold">
    <w:name w:val="Body Text Bold"/>
    <w:basedOn w:val="BodyText"/>
    <w:qFormat/>
    <w:rsid w:val="009059A4"/>
    <w:rPr>
      <w:b/>
    </w:rPr>
  </w:style>
  <w:style w:type="character" w:styleId="Hyperlink">
    <w:name w:val="Hyperlink"/>
    <w:basedOn w:val="DefaultParagraphFont"/>
    <w:uiPriority w:val="99"/>
    <w:unhideWhenUsed/>
    <w:rsid w:val="007418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5391</Characters>
  <Application>Microsoft Office Word</Application>
  <DocSecurity>0</DocSecurity>
  <Lines>256</Lines>
  <Paragraphs>164</Paragraphs>
  <ScaleCrop>false</ScaleCrop>
  <Company>Author-it Software Corporation Ltd.</Company>
  <LinksUpToDate>false</LinksUpToDate>
  <CharactersWithSpaces>6092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CPCCST3007 Turn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2025-03-01T13:14:00Z</dcterms:created>
  <dcterms:modified xsi:type="dcterms:W3CDTF">2025-03-01T13:14:00Z</dcterms:modified>
</cp:coreProperties>
</file>