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052" w:rsidP="006A00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CPCCST3007 Turn stone</w:t>
      </w:r>
      <w:r>
        <w:fldChar w:fldCharType="end"/>
      </w:r>
    </w:p>
    <w:p w:rsidR="006A0052" w:rsidP="006A0052">
      <w:pPr>
        <w:pStyle w:val="Version"/>
        <w:sectPr w:rsidSect="00CA0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0594" w:rsidP="00CA0594">
      <w:pPr>
        <w:pStyle w:val="SuperHeading"/>
      </w:pPr>
      <w:r w:rsidRPr="00CA0594">
        <w:t>Assessment Requirements for CPCCST3007 Turn stone</w:t>
      </w:r>
    </w:p>
    <w:p w:rsidR="00000000" w:rsidRPr="00CA0594" w:rsidP="00CA0594">
      <w:pPr>
        <w:pStyle w:val="Heading1"/>
      </w:pPr>
      <w:bookmarkStart w:id="1" w:name="O_1295763"/>
      <w:bookmarkEnd w:id="1"/>
      <w:r w:rsidRPr="00CA0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A0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594">
            <w:pPr>
              <w:pStyle w:val="BodyText"/>
              <w:rPr>
                <w:lang w:val="en-NZ"/>
              </w:rPr>
            </w:pPr>
            <w:r w:rsidRPr="00CA059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594">
            <w:pPr>
              <w:pStyle w:val="BodyText"/>
              <w:rPr>
                <w:lang w:val="en-NZ"/>
              </w:rPr>
            </w:pPr>
            <w:r w:rsidRPr="00CA0594">
              <w:t>Updated reference to general construction induction training program.</w:t>
            </w:r>
          </w:p>
        </w:tc>
      </w:tr>
      <w:tr w:rsidTr="00CA0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594">
            <w:pPr>
              <w:pStyle w:val="BodyText"/>
              <w:rPr>
                <w:lang w:val="en-NZ"/>
              </w:rPr>
            </w:pPr>
            <w:r w:rsidRPr="00CA059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594" w:rsidP="00CA0594">
            <w:pPr>
              <w:pStyle w:val="BodyText"/>
            </w:pPr>
            <w:r w:rsidRPr="00CA0594">
              <w:t>This version first released with CPC Construction, Plumbing and Services Training Package Release 5.0.</w:t>
            </w:r>
          </w:p>
          <w:p w:rsidR="00000000" w:rsidRPr="00CA0594" w:rsidP="00CA0594">
            <w:pPr>
              <w:pStyle w:val="BodyText"/>
            </w:pPr>
            <w:r w:rsidRPr="00CA0594">
              <w:t xml:space="preserve">Supersedes and is equivalent to </w:t>
            </w:r>
            <w:r w:rsidRPr="00CA0594">
              <w:t>CPCCST3007A Turn stone.  Updated to meet the Standards for Training Packages 2012.</w:t>
            </w:r>
          </w:p>
        </w:tc>
      </w:tr>
    </w:tbl>
    <w:p w:rsidR="00000000" w:rsidRPr="00CA0594" w:rsidP="00CA0594">
      <w:pPr>
        <w:pStyle w:val="BodyText"/>
      </w:pPr>
    </w:p>
    <w:p w:rsidR="00000000" w:rsidRPr="00CA0594" w:rsidP="00CA0594">
      <w:pPr>
        <w:pStyle w:val="AllowPageBreak"/>
      </w:pPr>
    </w:p>
    <w:p w:rsidR="00000000" w:rsidRPr="00CA0594" w:rsidP="00CA0594">
      <w:pPr>
        <w:pStyle w:val="Heading1"/>
      </w:pPr>
      <w:bookmarkStart w:id="2" w:name="O_1295762"/>
      <w:bookmarkEnd w:id="2"/>
      <w:r w:rsidRPr="00CA0594">
        <w:t>Performance Evidence</w:t>
      </w:r>
    </w:p>
    <w:p w:rsidR="00000000" w:rsidRPr="00CA0594" w:rsidP="006A0052">
      <w:pPr>
        <w:pStyle w:val="BodyText"/>
      </w:pPr>
      <w:r w:rsidRPr="00CA0594">
        <w:t>To demonstrate competency in this unit, a candidate must meet the performance criteria of this unit by producing two different turn</w:t>
      </w:r>
      <w:r w:rsidRPr="00CA0594">
        <w:t xml:space="preserve">ed stone products using one hard stone and one soft stone. </w:t>
      </w:r>
    </w:p>
    <w:p w:rsidR="00000000" w:rsidRPr="00CA0594" w:rsidP="006A0052">
      <w:pPr>
        <w:pStyle w:val="BodyText"/>
      </w:pPr>
      <w:r w:rsidRPr="00CA0594">
        <w:t>In doing this, the candidate must:</w:t>
      </w:r>
    </w:p>
    <w:p w:rsidR="00000000" w:rsidRPr="00CA0594" w:rsidP="00CA0594">
      <w:pPr>
        <w:pStyle w:val="ListBullet"/>
      </w:pPr>
      <w:r w:rsidRPr="00CA0594">
        <w:t>produce one parallel pattern</w:t>
      </w:r>
    </w:p>
    <w:p w:rsidR="00000000" w:rsidRPr="00CA0594" w:rsidP="00CA0594">
      <w:pPr>
        <w:pStyle w:val="ListBullet"/>
      </w:pPr>
      <w:r w:rsidRPr="00CA0594">
        <w:t>produce one tapering pattern.</w:t>
      </w:r>
    </w:p>
    <w:p w:rsidR="00000000" w:rsidRPr="00CA0594" w:rsidP="00CA0594">
      <w:pPr>
        <w:pStyle w:val="AllowPageBreak"/>
      </w:pPr>
    </w:p>
    <w:p w:rsidR="00000000" w:rsidRPr="00CA0594" w:rsidP="00CA0594">
      <w:pPr>
        <w:pStyle w:val="Heading1"/>
      </w:pPr>
      <w:bookmarkStart w:id="3" w:name="O_1295761"/>
      <w:bookmarkEnd w:id="3"/>
      <w:r w:rsidRPr="00CA0594">
        <w:t>Knowledge Evidence</w:t>
      </w:r>
    </w:p>
    <w:p w:rsidR="00000000" w:rsidRPr="00CA0594" w:rsidP="006A0052">
      <w:pPr>
        <w:pStyle w:val="BodyText"/>
      </w:pPr>
      <w:r w:rsidRPr="00CA0594">
        <w:t>To be competent in this unit, a pers</w:t>
      </w:r>
      <w:r w:rsidRPr="00CA0594">
        <w:t>on must demonstrate knowledge of:</w:t>
      </w:r>
    </w:p>
    <w:p w:rsidR="00000000" w:rsidRPr="00CA0594" w:rsidP="00CA0594">
      <w:pPr>
        <w:pStyle w:val="ListBullet"/>
      </w:pPr>
      <w:r w:rsidRPr="00CA0594">
        <w:t>types and characteristics of natural and manufactured stone:</w:t>
      </w:r>
    </w:p>
    <w:p w:rsidR="00000000" w:rsidRPr="00CA0594" w:rsidP="00CA0594">
      <w:pPr>
        <w:pStyle w:val="ListBullet2"/>
      </w:pPr>
      <w:r w:rsidRPr="00CA0594">
        <w:t>granite</w:t>
      </w:r>
    </w:p>
    <w:p w:rsidR="00000000" w:rsidRPr="00CA0594" w:rsidP="00CA0594">
      <w:pPr>
        <w:pStyle w:val="ListBullet2"/>
      </w:pPr>
      <w:r w:rsidRPr="00CA0594">
        <w:t>limestone</w:t>
      </w:r>
    </w:p>
    <w:p w:rsidR="00000000" w:rsidRPr="00CA0594" w:rsidP="00CA0594">
      <w:pPr>
        <w:pStyle w:val="ListBullet2"/>
      </w:pPr>
      <w:r w:rsidRPr="00CA0594">
        <w:t xml:space="preserve">marble </w:t>
      </w:r>
    </w:p>
    <w:p w:rsidR="00000000" w:rsidRPr="00CA0594" w:rsidP="00CA0594">
      <w:pPr>
        <w:pStyle w:val="ListBullet2"/>
      </w:pPr>
      <w:r w:rsidRPr="00CA0594">
        <w:t>sandstone</w:t>
      </w:r>
    </w:p>
    <w:p w:rsidR="00000000" w:rsidRPr="00CA0594" w:rsidP="00CA0594">
      <w:pPr>
        <w:pStyle w:val="ListBullet"/>
      </w:pPr>
      <w:r w:rsidRPr="00CA0594">
        <w:t>processes and techniques for turning stone:</w:t>
      </w:r>
    </w:p>
    <w:p w:rsidR="00000000" w:rsidRPr="00CA0594" w:rsidP="00CA0594">
      <w:pPr>
        <w:pStyle w:val="ListBullet2"/>
      </w:pPr>
      <w:r w:rsidRPr="00CA0594">
        <w:t>boring</w:t>
      </w:r>
    </w:p>
    <w:p w:rsidR="00000000" w:rsidRPr="00CA0594" w:rsidP="00CA0594">
      <w:pPr>
        <w:pStyle w:val="ListBullet2"/>
      </w:pPr>
      <w:r w:rsidRPr="00CA0594">
        <w:t>cutting</w:t>
      </w:r>
    </w:p>
    <w:p w:rsidR="00000000" w:rsidRPr="00CA0594" w:rsidP="00CA0594">
      <w:pPr>
        <w:pStyle w:val="ListBullet2"/>
      </w:pPr>
      <w:r w:rsidRPr="00CA0594">
        <w:t>shaping to parallel</w:t>
      </w:r>
    </w:p>
    <w:p w:rsidR="00000000" w:rsidRPr="00CA0594" w:rsidP="00CA0594">
      <w:pPr>
        <w:pStyle w:val="ListBullet2"/>
      </w:pPr>
      <w:r w:rsidRPr="00CA0594">
        <w:t>shaping to taper</w:t>
      </w:r>
    </w:p>
    <w:p w:rsidR="00000000" w:rsidRPr="00CA0594" w:rsidP="00CA0594">
      <w:pPr>
        <w:pStyle w:val="ListBullet2"/>
      </w:pPr>
      <w:r w:rsidRPr="00CA0594">
        <w:t xml:space="preserve">shaping to template </w:t>
      </w:r>
    </w:p>
    <w:p w:rsidR="00000000" w:rsidRPr="00CA0594" w:rsidP="00CA0594">
      <w:pPr>
        <w:pStyle w:val="ListBullet"/>
      </w:pPr>
      <w:r w:rsidRPr="00CA0594">
        <w:t>terminology relating to turning stone</w:t>
      </w:r>
    </w:p>
    <w:p w:rsidR="00000000" w:rsidRPr="00CA0594" w:rsidP="00CA0594">
      <w:pPr>
        <w:pStyle w:val="ListBullet"/>
      </w:pPr>
      <w:r w:rsidRPr="00CA0594">
        <w:t>functional and operational features of plant, equipment and hand and power tools:</w:t>
      </w:r>
    </w:p>
    <w:p w:rsidR="00000000" w:rsidRPr="00CA0594" w:rsidP="00CA0594">
      <w:pPr>
        <w:pStyle w:val="ListBullet2"/>
      </w:pPr>
      <w:r w:rsidRPr="00CA0594">
        <w:t>lathe</w:t>
      </w:r>
    </w:p>
    <w:p w:rsidR="00000000" w:rsidRPr="00CA0594" w:rsidP="00CA0594">
      <w:pPr>
        <w:pStyle w:val="ListBullet2"/>
      </w:pPr>
      <w:r w:rsidRPr="00CA0594">
        <w:t>abrasive heads</w:t>
      </w:r>
    </w:p>
    <w:p w:rsidR="00000000" w:rsidRPr="00CA0594" w:rsidP="00CA0594">
      <w:pPr>
        <w:pStyle w:val="ListBullet2"/>
      </w:pPr>
      <w:r w:rsidRPr="00CA0594">
        <w:t>abrasive sheets</w:t>
      </w:r>
    </w:p>
    <w:p w:rsidR="00000000" w:rsidRPr="00CA0594" w:rsidP="00CA0594">
      <w:pPr>
        <w:pStyle w:val="ListBullet2"/>
      </w:pPr>
      <w:r w:rsidRPr="00CA0594">
        <w:t>grinders</w:t>
      </w:r>
    </w:p>
    <w:p w:rsidR="00000000" w:rsidRPr="00CA0594" w:rsidP="00CA0594">
      <w:pPr>
        <w:pStyle w:val="ListBullet2"/>
      </w:pPr>
      <w:r w:rsidRPr="00CA0594">
        <w:t>range of cutting chisels</w:t>
      </w:r>
    </w:p>
    <w:p w:rsidR="00000000" w:rsidRPr="00CA0594" w:rsidP="00CA0594">
      <w:pPr>
        <w:pStyle w:val="ListBullet2"/>
      </w:pPr>
      <w:r w:rsidRPr="00CA0594">
        <w:t>battery operated tools</w:t>
      </w:r>
    </w:p>
    <w:p w:rsidR="00000000" w:rsidRPr="00CA0594" w:rsidP="00CA0594">
      <w:pPr>
        <w:pStyle w:val="ListBullet"/>
      </w:pPr>
      <w:r w:rsidRPr="00CA0594">
        <w:t>template materials:</w:t>
      </w:r>
    </w:p>
    <w:p w:rsidR="00000000" w:rsidRPr="00CA0594" w:rsidP="00CA0594">
      <w:pPr>
        <w:pStyle w:val="ListBullet2"/>
      </w:pPr>
      <w:r w:rsidRPr="00CA0594">
        <w:t>aluminium sheet</w:t>
      </w:r>
    </w:p>
    <w:p w:rsidR="00000000" w:rsidRPr="00CA0594" w:rsidP="00CA0594">
      <w:pPr>
        <w:pStyle w:val="ListBullet2"/>
      </w:pPr>
      <w:r w:rsidRPr="00CA0594">
        <w:t>cardboard</w:t>
      </w:r>
    </w:p>
    <w:p w:rsidR="00000000" w:rsidRPr="00CA0594" w:rsidP="00CA0594">
      <w:pPr>
        <w:pStyle w:val="ListBullet2"/>
      </w:pPr>
      <w:r w:rsidRPr="00CA0594">
        <w:t>plastic sheets</w:t>
      </w:r>
    </w:p>
    <w:p w:rsidR="00000000" w:rsidRPr="00CA0594" w:rsidP="00CA0594">
      <w:pPr>
        <w:pStyle w:val="ListBullet2"/>
      </w:pPr>
      <w:r w:rsidRPr="00CA0594">
        <w:t xml:space="preserve">plywood </w:t>
      </w:r>
    </w:p>
    <w:p w:rsidR="00000000" w:rsidRPr="00CA0594" w:rsidP="00CA0594">
      <w:pPr>
        <w:pStyle w:val="ListBullet2"/>
      </w:pPr>
      <w:r w:rsidRPr="00CA0594">
        <w:t>zincalume sheet</w:t>
      </w:r>
    </w:p>
    <w:p w:rsidR="00000000" w:rsidRPr="00CA0594" w:rsidP="00CA0594">
      <w:pPr>
        <w:pStyle w:val="ListBullet"/>
      </w:pPr>
      <w:r w:rsidRPr="00CA0594">
        <w:t xml:space="preserve">workplace processes and procedures </w:t>
      </w:r>
    </w:p>
    <w:p w:rsidR="00000000" w:rsidRPr="00CA0594" w:rsidP="00CA0594">
      <w:pPr>
        <w:pStyle w:val="ListBullet"/>
      </w:pPr>
      <w:r w:rsidRPr="00CA0594">
        <w:t>workplace safety:</w:t>
      </w:r>
    </w:p>
    <w:p w:rsidR="00000000" w:rsidRPr="00CA0594" w:rsidP="00CA0594">
      <w:pPr>
        <w:pStyle w:val="ListBullet2"/>
      </w:pPr>
      <w:r w:rsidRPr="00CA0594">
        <w:t>hierarchy of control</w:t>
      </w:r>
    </w:p>
    <w:p w:rsidR="00000000" w:rsidRPr="00CA0594" w:rsidP="00CA0594">
      <w:pPr>
        <w:pStyle w:val="ListBullet2"/>
      </w:pPr>
      <w:r w:rsidRPr="00CA0594">
        <w:t>exposure to silica dust</w:t>
      </w:r>
    </w:p>
    <w:p w:rsidR="00000000" w:rsidRPr="00CA0594" w:rsidP="00CA0594">
      <w:pPr>
        <w:pStyle w:val="ListBullet2"/>
      </w:pPr>
      <w:r w:rsidRPr="00CA0594">
        <w:t>hazardous manual tasks</w:t>
      </w:r>
    </w:p>
    <w:p w:rsidR="00000000" w:rsidRPr="00CA0594" w:rsidP="00CA0594">
      <w:pPr>
        <w:pStyle w:val="ListBullet"/>
      </w:pPr>
      <w:r w:rsidRPr="00CA0594">
        <w:t>stonemasonry regulations, codes and standards</w:t>
      </w:r>
    </w:p>
    <w:p w:rsidR="00000000" w:rsidRPr="00CA0594" w:rsidP="00CA0594">
      <w:pPr>
        <w:pStyle w:val="ListBullet"/>
      </w:pPr>
      <w:r w:rsidRPr="00CA0594">
        <w:t>environmental requirements for work</w:t>
      </w:r>
      <w:r w:rsidRPr="00CA0594">
        <w:t>place processes and waste disposal</w:t>
      </w:r>
    </w:p>
    <w:p w:rsidR="00000000" w:rsidRPr="00CA0594" w:rsidP="00CA0594">
      <w:pPr>
        <w:pStyle w:val="ListBullet"/>
      </w:pPr>
      <w:r w:rsidRPr="00CA0594">
        <w:t>Mohs scale of mineral hardness.</w:t>
      </w:r>
    </w:p>
    <w:p w:rsidR="00000000" w:rsidRPr="00CA0594" w:rsidP="00CA0594">
      <w:pPr>
        <w:pStyle w:val="AllowPageBreak"/>
      </w:pPr>
    </w:p>
    <w:p w:rsidR="00000000" w:rsidRPr="00CA0594" w:rsidP="00CA0594">
      <w:pPr>
        <w:pStyle w:val="Heading1"/>
      </w:pPr>
      <w:bookmarkStart w:id="4" w:name="O_1295760"/>
      <w:bookmarkEnd w:id="4"/>
      <w:r w:rsidRPr="00CA0594">
        <w:t>Assessment Conditions</w:t>
      </w:r>
    </w:p>
    <w:p w:rsidR="00000000" w:rsidRPr="00CA0594" w:rsidP="006A0052">
      <w:pPr>
        <w:pStyle w:val="BodyText"/>
      </w:pPr>
      <w:r w:rsidRPr="00CA0594">
        <w:t xml:space="preserve">Assessors must meet the requirements for assessors contained in the Standards for Registered Training Organisations. </w:t>
      </w:r>
    </w:p>
    <w:p w:rsidR="00000000" w:rsidRPr="00CA0594" w:rsidP="006A0052">
      <w:pPr>
        <w:pStyle w:val="BodyText"/>
      </w:pPr>
      <w:r w:rsidRPr="00CA0594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CA0594" w:rsidP="00CA0594">
      <w:pPr>
        <w:pStyle w:val="Heading1"/>
      </w:pPr>
      <w:bookmarkStart w:id="5" w:name="O_1295773"/>
      <w:bookmarkEnd w:id="5"/>
      <w:r w:rsidRPr="00CA0594">
        <w:t>Links</w:t>
      </w:r>
    </w:p>
    <w:p w:rsidR="00000000" w:rsidRPr="00CA0594" w:rsidP="006A0052">
      <w:pPr>
        <w:pStyle w:val="BodyText"/>
      </w:pPr>
      <w:r w:rsidRPr="00CA059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801D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A0594" w:rsidP="00CA0594"/>
    <w:sectPr w:rsidSect="00CA0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94" w:rsidRPr="006A0052" w:rsidP="006A00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52" w:rsidP="00CA0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0052" w:rsidP="00CA0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A0052" w:rsidP="00CA0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594" w:rsidRPr="006A0052" w:rsidP="006A00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52" w:rsidRPr="002D2AF8" w:rsidP="00CA0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CPCCST3007 Turn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A0052" w:rsidP="00CA0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862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9E8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2EF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594"/>
  </w:style>
  <w:style w:type="character" w:customStyle="1" w:styleId="Heading1Char">
    <w:name w:val="Heading 1 Char"/>
    <w:basedOn w:val="DefaultParagraphFont"/>
    <w:link w:val="Heading1"/>
    <w:rsid w:val="00CA0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5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05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0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0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0594"/>
    <w:rPr>
      <w:b/>
      <w:spacing w:val="0"/>
    </w:rPr>
  </w:style>
  <w:style w:type="paragraph" w:customStyle="1" w:styleId="SuperTitle">
    <w:name w:val="SuperTitle"/>
    <w:basedOn w:val="Title"/>
    <w:rsid w:val="00CA0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0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5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594"/>
    <w:rPr>
      <w:i/>
    </w:rPr>
  </w:style>
  <w:style w:type="paragraph" w:styleId="Caption">
    <w:name w:val="caption"/>
    <w:basedOn w:val="BodyText"/>
    <w:next w:val="Normal"/>
    <w:qFormat/>
    <w:rsid w:val="00CA0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594"/>
  </w:style>
  <w:style w:type="paragraph" w:styleId="TableofFigures">
    <w:name w:val="table of figures"/>
    <w:basedOn w:val="Normal"/>
    <w:next w:val="Normal"/>
    <w:semiHidden/>
    <w:rsid w:val="00CA0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5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0594"/>
    <w:rPr>
      <w:rFonts w:ascii="Wingdings" w:hAnsi="Wingdings"/>
    </w:rPr>
  </w:style>
  <w:style w:type="paragraph" w:customStyle="1" w:styleId="TableHeading">
    <w:name w:val="Table Heading"/>
    <w:basedOn w:val="HeadingBase"/>
    <w:rsid w:val="00CA0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594"/>
    <w:rPr>
      <w:color w:val="0033CC"/>
      <w:u w:val="none"/>
    </w:rPr>
  </w:style>
  <w:style w:type="paragraph" w:customStyle="1" w:styleId="BodyTextRight">
    <w:name w:val="Body Text Right"/>
    <w:basedOn w:val="BodyText"/>
    <w:rsid w:val="00CA0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5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594"/>
    <w:rPr>
      <w:sz w:val="32"/>
    </w:rPr>
  </w:style>
  <w:style w:type="paragraph" w:customStyle="1" w:styleId="HeadingProcedure">
    <w:name w:val="Heading Procedure"/>
    <w:basedOn w:val="HeadingBase"/>
    <w:next w:val="Normal"/>
    <w:rsid w:val="00CA0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594"/>
    <w:pPr>
      <w:spacing w:before="60" w:after="60"/>
    </w:pPr>
  </w:style>
  <w:style w:type="paragraph" w:styleId="ListContinue">
    <w:name w:val="List Continue"/>
    <w:basedOn w:val="List"/>
    <w:rsid w:val="00CA0594"/>
    <w:pPr>
      <w:ind w:firstLine="0"/>
    </w:pPr>
  </w:style>
  <w:style w:type="paragraph" w:customStyle="1" w:styleId="ListNote">
    <w:name w:val="List Note"/>
    <w:basedOn w:val="List"/>
    <w:rsid w:val="00CA0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594"/>
    <w:rPr>
      <w:rFonts w:ascii="Courier New" w:hAnsi="Courier New"/>
    </w:rPr>
  </w:style>
  <w:style w:type="paragraph" w:customStyle="1" w:styleId="NoteBullet">
    <w:name w:val="Note Bullet"/>
    <w:basedOn w:val="Note"/>
    <w:rsid w:val="00CA0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0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594"/>
    <w:rPr>
      <w:b/>
      <w:smallCaps/>
    </w:rPr>
  </w:style>
  <w:style w:type="paragraph" w:customStyle="1" w:styleId="TableListNumber">
    <w:name w:val="Table List Number"/>
    <w:basedOn w:val="ListNumber"/>
    <w:rsid w:val="00CA0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594"/>
    <w:pPr>
      <w:numPr>
        <w:numId w:val="9"/>
      </w:numPr>
    </w:pPr>
  </w:style>
  <w:style w:type="paragraph" w:customStyle="1" w:styleId="ListAlpha2">
    <w:name w:val="List Alpha 2"/>
    <w:basedOn w:val="List2"/>
    <w:rsid w:val="00CA0594"/>
    <w:pPr>
      <w:numPr>
        <w:numId w:val="8"/>
      </w:numPr>
    </w:pPr>
  </w:style>
  <w:style w:type="paragraph" w:styleId="List2">
    <w:name w:val="List 2"/>
    <w:basedOn w:val="BodyText"/>
    <w:rsid w:val="00CA0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5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0594"/>
    <w:pPr>
      <w:numPr>
        <w:numId w:val="4"/>
      </w:numPr>
    </w:pPr>
  </w:style>
  <w:style w:type="paragraph" w:styleId="ListContinue2">
    <w:name w:val="List Continue 2"/>
    <w:basedOn w:val="List2"/>
    <w:rsid w:val="00CA0594"/>
    <w:pPr>
      <w:ind w:firstLine="0"/>
    </w:pPr>
  </w:style>
  <w:style w:type="paragraph" w:styleId="ListContinue3">
    <w:name w:val="List Continue 3"/>
    <w:basedOn w:val="List3"/>
    <w:rsid w:val="00CA0594"/>
    <w:pPr>
      <w:ind w:left="1021" w:firstLine="0"/>
    </w:pPr>
  </w:style>
  <w:style w:type="paragraph" w:styleId="ListContinue4">
    <w:name w:val="List Continue 4"/>
    <w:basedOn w:val="List4"/>
    <w:rsid w:val="00CA0594"/>
    <w:pPr>
      <w:ind w:firstLine="0"/>
    </w:pPr>
  </w:style>
  <w:style w:type="paragraph" w:styleId="ListContinue5">
    <w:name w:val="List Continue 5"/>
    <w:basedOn w:val="List5"/>
    <w:rsid w:val="00CA0594"/>
    <w:pPr>
      <w:ind w:firstLine="0"/>
    </w:pPr>
  </w:style>
  <w:style w:type="paragraph" w:styleId="ListNumber3">
    <w:name w:val="List Number 3"/>
    <w:basedOn w:val="List3"/>
    <w:rsid w:val="00CA0594"/>
    <w:pPr>
      <w:numPr>
        <w:numId w:val="5"/>
      </w:numPr>
    </w:pPr>
  </w:style>
  <w:style w:type="paragraph" w:styleId="ListNumber4">
    <w:name w:val="List Number 4"/>
    <w:basedOn w:val="List4"/>
    <w:rsid w:val="00CA0594"/>
    <w:pPr>
      <w:numPr>
        <w:numId w:val="6"/>
      </w:numPr>
    </w:pPr>
  </w:style>
  <w:style w:type="paragraph" w:styleId="ListNumber5">
    <w:name w:val="List Number 5"/>
    <w:basedOn w:val="List5"/>
    <w:rsid w:val="00CA0594"/>
    <w:pPr>
      <w:numPr>
        <w:numId w:val="7"/>
      </w:numPr>
    </w:pPr>
  </w:style>
  <w:style w:type="paragraph" w:styleId="BlockText">
    <w:name w:val="Block Text"/>
    <w:basedOn w:val="Normal"/>
    <w:rsid w:val="00CA0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594"/>
    <w:rPr>
      <w:sz w:val="16"/>
      <w:vertAlign w:val="superscript"/>
    </w:rPr>
  </w:style>
  <w:style w:type="character" w:customStyle="1" w:styleId="Symbols">
    <w:name w:val="Symbols"/>
    <w:basedOn w:val="DefaultParagraphFont"/>
    <w:rsid w:val="00CA0594"/>
    <w:rPr>
      <w:rFonts w:ascii="Symbol" w:hAnsi="Symbol"/>
    </w:rPr>
  </w:style>
  <w:style w:type="character" w:customStyle="1" w:styleId="MenuOptions">
    <w:name w:val="Menu Options"/>
    <w:basedOn w:val="DefaultParagraphFont"/>
    <w:rsid w:val="00CA0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594"/>
    <w:rPr>
      <w:b/>
    </w:rPr>
  </w:style>
  <w:style w:type="character" w:customStyle="1" w:styleId="Underlined">
    <w:name w:val="Underlined"/>
    <w:basedOn w:val="DefaultParagraphFont"/>
    <w:rsid w:val="00CA0594"/>
    <w:rPr>
      <w:u w:val="single"/>
    </w:rPr>
  </w:style>
  <w:style w:type="paragraph" w:customStyle="1" w:styleId="TableBodyTextRight">
    <w:name w:val="Table Body Text Right"/>
    <w:basedOn w:val="TableBodyText"/>
    <w:rsid w:val="00CA0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594"/>
    <w:rPr>
      <w:sz w:val="18"/>
    </w:rPr>
  </w:style>
  <w:style w:type="paragraph" w:customStyle="1" w:styleId="BodySmallRight">
    <w:name w:val="Body Small Right"/>
    <w:basedOn w:val="BodyTextRight"/>
    <w:rsid w:val="00CA0594"/>
    <w:rPr>
      <w:sz w:val="18"/>
      <w:szCs w:val="18"/>
    </w:rPr>
  </w:style>
  <w:style w:type="paragraph" w:customStyle="1" w:styleId="MarginEdition">
    <w:name w:val="Margin Edition"/>
    <w:basedOn w:val="MarginNote"/>
    <w:rsid w:val="00CA0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594"/>
    <w:rPr>
      <w:sz w:val="2"/>
      <w:szCs w:val="2"/>
    </w:rPr>
  </w:style>
  <w:style w:type="character" w:customStyle="1" w:styleId="Small">
    <w:name w:val="Small"/>
    <w:basedOn w:val="DefaultParagraphFont"/>
    <w:rsid w:val="00CA0594"/>
    <w:rPr>
      <w:sz w:val="16"/>
    </w:rPr>
  </w:style>
  <w:style w:type="paragraph" w:customStyle="1" w:styleId="WideTable">
    <w:name w:val="Wide Table"/>
    <w:basedOn w:val="Normal"/>
    <w:rsid w:val="00CA0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594"/>
  </w:style>
  <w:style w:type="paragraph" w:styleId="Quote">
    <w:name w:val="Quote"/>
    <w:basedOn w:val="Heading1"/>
    <w:link w:val="QuoteChar"/>
    <w:qFormat/>
    <w:rsid w:val="00CA0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594"/>
    <w:pPr>
      <w:pageBreakBefore/>
    </w:pPr>
  </w:style>
  <w:style w:type="paragraph" w:customStyle="1" w:styleId="Border">
    <w:name w:val="Border"/>
    <w:basedOn w:val="Normal"/>
    <w:qFormat/>
    <w:rsid w:val="00CA0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594"/>
    <w:rPr>
      <w:u w:val="single"/>
    </w:rPr>
  </w:style>
  <w:style w:type="character" w:customStyle="1" w:styleId="BoldandItalics">
    <w:name w:val="Bold and Italics"/>
    <w:qFormat/>
    <w:rsid w:val="00CA0594"/>
    <w:rPr>
      <w:b/>
      <w:i/>
      <w:u w:val="none"/>
    </w:rPr>
  </w:style>
  <w:style w:type="paragraph" w:styleId="BalloonText">
    <w:name w:val="Balloon Text"/>
    <w:basedOn w:val="Normal"/>
    <w:link w:val="BalloonTextChar"/>
    <w:rsid w:val="00CA0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594"/>
    <w:pPr>
      <w:spacing w:before="0" w:after="0"/>
    </w:pPr>
  </w:style>
  <w:style w:type="paragraph" w:customStyle="1" w:styleId="BodyTextBold">
    <w:name w:val="Body Text Bold"/>
    <w:basedOn w:val="BodyText"/>
    <w:qFormat/>
    <w:rsid w:val="00CA0594"/>
    <w:rPr>
      <w:b/>
    </w:rPr>
  </w:style>
  <w:style w:type="character" w:styleId="Hyperlink">
    <w:name w:val="Hyperlink"/>
    <w:basedOn w:val="DefaultParagraphFont"/>
    <w:uiPriority w:val="99"/>
    <w:unhideWhenUsed/>
    <w:rsid w:val="006A00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2038</Characters>
  <Application>Microsoft Office Word</Application>
  <DocSecurity>0</DocSecurity>
  <Lines>75</Lines>
  <Paragraphs>64</Paragraphs>
  <ScaleCrop>false</ScaleCrop>
  <Company>Author-it Software Corporation Ltd.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CPCCST3007 Turn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