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D1A" w:rsidP="00EE2D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CPCCST3001 Dress and mould stone</w:t>
      </w:r>
      <w:r>
        <w:fldChar w:fldCharType="end"/>
      </w:r>
    </w:p>
    <w:p w:rsidR="00EE2D1A" w:rsidP="00EE2D1A">
      <w:pPr>
        <w:pStyle w:val="Version"/>
        <w:sectPr w:rsidSect="00640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0BDF" w:rsidP="00640BDF">
      <w:pPr>
        <w:pStyle w:val="SuperHeading"/>
      </w:pPr>
      <w:r w:rsidRPr="00640BDF">
        <w:t>Assessment Requirements for CPCCST3001 Dress and mould stone</w:t>
      </w:r>
    </w:p>
    <w:p w:rsidR="00000000" w:rsidRPr="00640BDF" w:rsidP="00640BDF">
      <w:pPr>
        <w:pStyle w:val="Heading1"/>
      </w:pPr>
      <w:bookmarkStart w:id="1" w:name="O_1291848"/>
      <w:bookmarkEnd w:id="1"/>
      <w:r w:rsidRPr="00640B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40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BDF">
            <w:pPr>
              <w:pStyle w:val="BodyText"/>
              <w:rPr>
                <w:lang w:val="en-NZ"/>
              </w:rPr>
            </w:pPr>
            <w:r w:rsidRPr="00640BD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BDF">
            <w:pPr>
              <w:pStyle w:val="BodyText"/>
              <w:rPr>
                <w:lang w:val="en-NZ"/>
              </w:rPr>
            </w:pPr>
            <w:r w:rsidRPr="00640BDF">
              <w:t>Updated reference to general construction induction training program.</w:t>
            </w:r>
          </w:p>
        </w:tc>
      </w:tr>
      <w:tr w:rsidTr="00640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BDF">
            <w:pPr>
              <w:pStyle w:val="BodyText"/>
              <w:rPr>
                <w:lang w:val="en-NZ"/>
              </w:rPr>
            </w:pPr>
            <w:r w:rsidRPr="00640BD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BDF" w:rsidP="00640BDF">
            <w:pPr>
              <w:pStyle w:val="BodyText"/>
            </w:pPr>
            <w:r w:rsidRPr="00640BDF">
              <w:t>This version first released with CPC Construction, Plumbing and Services Training Package Release 5.0.</w:t>
            </w:r>
          </w:p>
          <w:p w:rsidR="00000000" w:rsidRPr="00640BDF" w:rsidP="00640BDF">
            <w:pPr>
              <w:pStyle w:val="BodyText"/>
            </w:pPr>
            <w:r w:rsidRPr="00640BDF">
              <w:t>Supersedes and is equiv</w:t>
            </w:r>
            <w:r w:rsidRPr="00640BDF">
              <w:t>alent to CPCCST3001A Dress and mould stone.  Updated to meet the Standards for Training Packages 2012.</w:t>
            </w:r>
          </w:p>
        </w:tc>
      </w:tr>
    </w:tbl>
    <w:p w:rsidR="00000000" w:rsidRPr="00640BDF" w:rsidP="00640BDF">
      <w:pPr>
        <w:pStyle w:val="BodyText"/>
      </w:pPr>
    </w:p>
    <w:p w:rsidR="00000000" w:rsidRPr="00640BDF" w:rsidP="00640BDF">
      <w:pPr>
        <w:pStyle w:val="AllowPageBreak"/>
      </w:pPr>
    </w:p>
    <w:p w:rsidR="00000000" w:rsidRPr="00640BDF" w:rsidP="00640BDF">
      <w:pPr>
        <w:pStyle w:val="Heading1"/>
      </w:pPr>
      <w:bookmarkStart w:id="2" w:name="O_1291847"/>
      <w:bookmarkEnd w:id="2"/>
      <w:r w:rsidRPr="00640BDF">
        <w:t>Performance Evidence</w:t>
      </w:r>
    </w:p>
    <w:p w:rsidR="00000000" w:rsidRPr="00640BDF" w:rsidP="00EE2D1A">
      <w:pPr>
        <w:pStyle w:val="BodyText"/>
      </w:pPr>
      <w:r w:rsidRPr="00640BDF">
        <w:t>To demonstrate competency in this unit, a candidate must meet the performance criteria of this unit by dressing</w:t>
      </w:r>
      <w:r w:rsidRPr="00640BDF">
        <w:t xml:space="preserve"> and moulding one solid hard stone and one solid soft stone.</w:t>
      </w:r>
    </w:p>
    <w:p w:rsidR="00000000" w:rsidRPr="00640BDF" w:rsidP="00EE2D1A">
      <w:pPr>
        <w:pStyle w:val="BodyText"/>
      </w:pPr>
      <w:r w:rsidRPr="00640BDF">
        <w:t>In doing this, the candidate must:</w:t>
      </w:r>
    </w:p>
    <w:p w:rsidR="00000000" w:rsidRPr="00640BDF" w:rsidP="00640BDF">
      <w:pPr>
        <w:pStyle w:val="ListBullet"/>
      </w:pPr>
      <w:r w:rsidRPr="00640BDF">
        <w:t>apply different moulding to each stone</w:t>
      </w:r>
    </w:p>
    <w:p w:rsidR="00000000" w:rsidRPr="00640BDF" w:rsidP="00640BDF">
      <w:pPr>
        <w:pStyle w:val="ListBullet"/>
      </w:pPr>
      <w:r w:rsidRPr="00640BDF">
        <w:t>accurately set out templates for each mould</w:t>
      </w:r>
    </w:p>
    <w:p w:rsidR="00000000" w:rsidRPr="00640BDF" w:rsidP="00640BDF">
      <w:pPr>
        <w:pStyle w:val="ListBullet"/>
      </w:pPr>
      <w:r w:rsidRPr="00640BDF">
        <w:t xml:space="preserve">finish moulded stone surface using chisels and other hand tools. </w:t>
      </w:r>
    </w:p>
    <w:p w:rsidR="00000000" w:rsidRPr="00640BDF" w:rsidP="00640BDF">
      <w:pPr>
        <w:pStyle w:val="AllowPageBreak"/>
      </w:pPr>
    </w:p>
    <w:p w:rsidR="00000000" w:rsidRPr="00640BDF" w:rsidP="00640BDF">
      <w:pPr>
        <w:pStyle w:val="Heading1"/>
      </w:pPr>
      <w:bookmarkStart w:id="3" w:name="O_1291846"/>
      <w:bookmarkEnd w:id="3"/>
      <w:r w:rsidRPr="00640BDF">
        <w:t>Knowledge Evidence</w:t>
      </w:r>
    </w:p>
    <w:p w:rsidR="00000000" w:rsidRPr="00640BDF" w:rsidP="00EE2D1A">
      <w:pPr>
        <w:pStyle w:val="BodyText"/>
      </w:pPr>
      <w:r w:rsidRPr="00640BDF">
        <w:t>To be competent in this unit, a person must demonstrate knowledge of:</w:t>
      </w:r>
    </w:p>
    <w:p w:rsidR="00000000" w:rsidRPr="00640BDF" w:rsidP="00640BDF">
      <w:pPr>
        <w:pStyle w:val="ListBullet"/>
      </w:pPr>
      <w:r w:rsidRPr="00640BDF">
        <w:t>stonemasonry regulations, codes and standards</w:t>
      </w:r>
    </w:p>
    <w:p w:rsidR="00000000" w:rsidRPr="00640BDF" w:rsidP="00640BDF">
      <w:pPr>
        <w:pStyle w:val="ListBullet"/>
      </w:pPr>
      <w:r w:rsidRPr="00640BDF">
        <w:t>characteristics, applications and limitations of specified materials for dressing and moulding stone</w:t>
      </w:r>
    </w:p>
    <w:p w:rsidR="00000000" w:rsidRPr="00640BDF" w:rsidP="00640BDF">
      <w:pPr>
        <w:pStyle w:val="ListBullet"/>
      </w:pPr>
      <w:r w:rsidRPr="00640BDF">
        <w:t>types of n</w:t>
      </w:r>
      <w:r w:rsidRPr="00640BDF">
        <w:t xml:space="preserve">atural and manufactured stone </w:t>
      </w:r>
    </w:p>
    <w:p w:rsidR="00000000" w:rsidRPr="00640BDF" w:rsidP="00640BDF">
      <w:pPr>
        <w:pStyle w:val="ListBullet"/>
      </w:pPr>
      <w:r w:rsidRPr="00640BDF">
        <w:t>processes and techniques for dressing and moulding stone:</w:t>
      </w:r>
    </w:p>
    <w:p w:rsidR="00000000" w:rsidRPr="00640BDF" w:rsidP="00640BDF">
      <w:pPr>
        <w:pStyle w:val="ListBullet2"/>
      </w:pPr>
      <w:r w:rsidRPr="00640BDF">
        <w:t xml:space="preserve">calculating material quantities </w:t>
      </w:r>
    </w:p>
    <w:p w:rsidR="00000000" w:rsidRPr="00640BDF" w:rsidP="00640BDF">
      <w:pPr>
        <w:pStyle w:val="ListBullet"/>
      </w:pPr>
      <w:r w:rsidRPr="00640BDF">
        <w:t>construction terminology relating to dressing and moulding stone</w:t>
      </w:r>
    </w:p>
    <w:p w:rsidR="00000000" w:rsidRPr="00640BDF" w:rsidP="00640BDF">
      <w:pPr>
        <w:pStyle w:val="ListBullet"/>
      </w:pPr>
      <w:r w:rsidRPr="00640BDF">
        <w:t>functional and operational features of plant, equipment and hand an</w:t>
      </w:r>
      <w:r w:rsidRPr="00640BDF">
        <w:t>d power tools:</w:t>
      </w:r>
    </w:p>
    <w:p w:rsidR="00000000" w:rsidRPr="00640BDF" w:rsidP="00640BDF">
      <w:pPr>
        <w:pStyle w:val="ListBullet2"/>
      </w:pPr>
      <w:r w:rsidRPr="00640BDF">
        <w:t>pneumatic chisels</w:t>
      </w:r>
    </w:p>
    <w:p w:rsidR="00000000" w:rsidRPr="00640BDF" w:rsidP="00640BDF">
      <w:pPr>
        <w:pStyle w:val="ListBullet2"/>
      </w:pPr>
      <w:r w:rsidRPr="00640BDF">
        <w:t>portable cutters and grinders</w:t>
      </w:r>
    </w:p>
    <w:p w:rsidR="00000000" w:rsidRPr="00640BDF" w:rsidP="00640BDF">
      <w:pPr>
        <w:pStyle w:val="ListBullet2"/>
      </w:pPr>
      <w:r w:rsidRPr="00640BDF">
        <w:t>power grinders</w:t>
      </w:r>
    </w:p>
    <w:p w:rsidR="00000000" w:rsidRPr="00640BDF" w:rsidP="00640BDF">
      <w:pPr>
        <w:pStyle w:val="ListBullet"/>
      </w:pPr>
      <w:r w:rsidRPr="00640BDF">
        <w:t xml:space="preserve">workplace processes and procedures </w:t>
      </w:r>
    </w:p>
    <w:p w:rsidR="00000000" w:rsidRPr="00640BDF" w:rsidP="00640BDF">
      <w:pPr>
        <w:pStyle w:val="ListBullet"/>
      </w:pPr>
      <w:r w:rsidRPr="00640BDF">
        <w:t>workplace safety:</w:t>
      </w:r>
    </w:p>
    <w:p w:rsidR="00000000" w:rsidRPr="00640BDF" w:rsidP="00640BDF">
      <w:pPr>
        <w:pStyle w:val="ListBullet2"/>
      </w:pPr>
      <w:r w:rsidRPr="00640BDF">
        <w:t>job safety and environmental analysis (JSEA)</w:t>
      </w:r>
    </w:p>
    <w:p w:rsidR="00000000" w:rsidRPr="00640BDF" w:rsidP="00640BDF">
      <w:pPr>
        <w:pStyle w:val="ListBullet2"/>
      </w:pPr>
      <w:r w:rsidRPr="00640BDF">
        <w:t>exposure to silica dust</w:t>
      </w:r>
    </w:p>
    <w:p w:rsidR="00000000" w:rsidRPr="00640BDF" w:rsidP="00640BDF">
      <w:pPr>
        <w:pStyle w:val="ListBullet2"/>
      </w:pPr>
      <w:r w:rsidRPr="00640BDF">
        <w:t>exposure to loud noise</w:t>
      </w:r>
    </w:p>
    <w:p w:rsidR="00000000" w:rsidRPr="00640BDF" w:rsidP="00640BDF">
      <w:pPr>
        <w:pStyle w:val="ListBullet2"/>
      </w:pPr>
      <w:r w:rsidRPr="00640BDF">
        <w:t>hazardous manual tasks</w:t>
      </w:r>
    </w:p>
    <w:p w:rsidR="00000000" w:rsidRPr="00640BDF" w:rsidP="00640BDF">
      <w:pPr>
        <w:pStyle w:val="ListBullet"/>
      </w:pPr>
      <w:r w:rsidRPr="00640BDF">
        <w:t>environmental requirements for workplace processes and waste disposal</w:t>
      </w:r>
    </w:p>
    <w:p w:rsidR="00000000" w:rsidRPr="00640BDF" w:rsidP="00640BDF">
      <w:pPr>
        <w:pStyle w:val="ListBullet"/>
      </w:pPr>
      <w:r w:rsidRPr="00640BDF">
        <w:t>Mohs scale of mineral hardness</w:t>
      </w:r>
    </w:p>
    <w:p w:rsidR="00000000" w:rsidRPr="00640BDF" w:rsidP="00640BDF">
      <w:pPr>
        <w:pStyle w:val="ListBullet"/>
      </w:pPr>
      <w:r w:rsidRPr="00640BDF">
        <w:t>digital technology to operate devices and applications to source information and communicate with others.</w:t>
      </w:r>
    </w:p>
    <w:p w:rsidR="00000000" w:rsidRPr="00640BDF" w:rsidP="00640BDF">
      <w:pPr>
        <w:pStyle w:val="AllowPageBreak"/>
      </w:pPr>
    </w:p>
    <w:p w:rsidR="00000000" w:rsidRPr="00640BDF" w:rsidP="00640BDF">
      <w:pPr>
        <w:pStyle w:val="Heading1"/>
      </w:pPr>
      <w:bookmarkStart w:id="4" w:name="O_1291845"/>
      <w:bookmarkEnd w:id="4"/>
      <w:r w:rsidRPr="00640BDF">
        <w:t>Assessment Conditions</w:t>
      </w:r>
    </w:p>
    <w:p w:rsidR="00000000" w:rsidRPr="00640BDF" w:rsidP="00EE2D1A">
      <w:pPr>
        <w:pStyle w:val="BodyText"/>
      </w:pPr>
      <w:r w:rsidRPr="00640BDF">
        <w:t xml:space="preserve">Assessors must meet the requirements for assessors contained in the Standards for Registered Training Organisations. </w:t>
      </w:r>
    </w:p>
    <w:p w:rsidR="00000000" w:rsidRPr="00640BDF" w:rsidP="00EE2D1A">
      <w:pPr>
        <w:pStyle w:val="BodyText"/>
      </w:pPr>
      <w:r w:rsidRPr="00640BDF">
        <w:t>This unit must be assessed in the workplace or a close simulation reflecting workplace conditions and standards, materials, equipment, act</w:t>
      </w:r>
      <w:r w:rsidRPr="00640BDF">
        <w:t>ivities, responsibilities, procedures, safety requirements and environmental considerations.</w:t>
      </w:r>
    </w:p>
    <w:p w:rsidR="00000000" w:rsidRPr="00640BDF" w:rsidP="00640BDF">
      <w:pPr>
        <w:pStyle w:val="Heading1"/>
      </w:pPr>
      <w:bookmarkStart w:id="5" w:name="O_1291858"/>
      <w:bookmarkEnd w:id="5"/>
      <w:r w:rsidRPr="00640BDF">
        <w:t>Links</w:t>
      </w:r>
    </w:p>
    <w:p w:rsidR="00000000" w:rsidRPr="00640BDF" w:rsidP="00EE2D1A">
      <w:pPr>
        <w:pStyle w:val="BodyText"/>
      </w:pPr>
      <w:r w:rsidRPr="00640BD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5609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40BDF" w:rsidP="00640BDF"/>
    <w:sectPr w:rsidSect="00640B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BDF" w:rsidRPr="00EE2D1A" w:rsidP="00EE2D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D1A" w:rsidP="00640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2D1A" w:rsidP="00640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E2D1A" w:rsidP="00640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BDF" w:rsidRPr="00EE2D1A" w:rsidP="00EE2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D1A" w:rsidRPr="002D2AF8" w:rsidP="00640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CPCCST3001 Dress and mould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E2D1A" w:rsidP="00640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141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E6A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AA3D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BDF"/>
  </w:style>
  <w:style w:type="character" w:customStyle="1" w:styleId="Heading1Char">
    <w:name w:val="Heading 1 Char"/>
    <w:basedOn w:val="DefaultParagraphFont"/>
    <w:link w:val="Heading1"/>
    <w:rsid w:val="00640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B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B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0B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0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0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B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B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0BDF"/>
    <w:rPr>
      <w:b/>
      <w:spacing w:val="0"/>
    </w:rPr>
  </w:style>
  <w:style w:type="paragraph" w:customStyle="1" w:styleId="SuperTitle">
    <w:name w:val="SuperTitle"/>
    <w:basedOn w:val="Title"/>
    <w:rsid w:val="00640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0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B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BDF"/>
    <w:rPr>
      <w:i/>
    </w:rPr>
  </w:style>
  <w:style w:type="paragraph" w:styleId="Caption">
    <w:name w:val="caption"/>
    <w:basedOn w:val="BodyText"/>
    <w:next w:val="Normal"/>
    <w:qFormat/>
    <w:rsid w:val="00640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BDF"/>
  </w:style>
  <w:style w:type="paragraph" w:styleId="TableofFigures">
    <w:name w:val="table of figures"/>
    <w:basedOn w:val="Normal"/>
    <w:next w:val="Normal"/>
    <w:semiHidden/>
    <w:rsid w:val="00640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B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0BDF"/>
    <w:rPr>
      <w:rFonts w:ascii="Wingdings" w:hAnsi="Wingdings"/>
    </w:rPr>
  </w:style>
  <w:style w:type="paragraph" w:customStyle="1" w:styleId="TableHeading">
    <w:name w:val="Table Heading"/>
    <w:basedOn w:val="HeadingBase"/>
    <w:rsid w:val="00640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BDF"/>
    <w:rPr>
      <w:color w:val="0033CC"/>
      <w:u w:val="none"/>
    </w:rPr>
  </w:style>
  <w:style w:type="paragraph" w:customStyle="1" w:styleId="BodyTextRight">
    <w:name w:val="Body Text Right"/>
    <w:basedOn w:val="BodyText"/>
    <w:rsid w:val="00640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B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BDF"/>
    <w:rPr>
      <w:sz w:val="32"/>
    </w:rPr>
  </w:style>
  <w:style w:type="paragraph" w:customStyle="1" w:styleId="HeadingProcedure">
    <w:name w:val="Heading Procedure"/>
    <w:basedOn w:val="HeadingBase"/>
    <w:next w:val="Normal"/>
    <w:rsid w:val="00640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BDF"/>
    <w:pPr>
      <w:spacing w:before="60" w:after="60"/>
    </w:pPr>
  </w:style>
  <w:style w:type="paragraph" w:styleId="ListContinue">
    <w:name w:val="List Continue"/>
    <w:basedOn w:val="List"/>
    <w:rsid w:val="00640BDF"/>
    <w:pPr>
      <w:ind w:firstLine="0"/>
    </w:pPr>
  </w:style>
  <w:style w:type="paragraph" w:customStyle="1" w:styleId="ListNote">
    <w:name w:val="List Note"/>
    <w:basedOn w:val="List"/>
    <w:rsid w:val="00640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BDF"/>
    <w:rPr>
      <w:rFonts w:ascii="Courier New" w:hAnsi="Courier New"/>
    </w:rPr>
  </w:style>
  <w:style w:type="paragraph" w:customStyle="1" w:styleId="NoteBullet">
    <w:name w:val="Note Bullet"/>
    <w:basedOn w:val="Note"/>
    <w:rsid w:val="00640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B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0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BDF"/>
    <w:rPr>
      <w:b/>
      <w:smallCaps/>
    </w:rPr>
  </w:style>
  <w:style w:type="paragraph" w:customStyle="1" w:styleId="TableListNumber">
    <w:name w:val="Table List Number"/>
    <w:basedOn w:val="ListNumber"/>
    <w:rsid w:val="00640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BDF"/>
    <w:pPr>
      <w:numPr>
        <w:numId w:val="9"/>
      </w:numPr>
    </w:pPr>
  </w:style>
  <w:style w:type="paragraph" w:customStyle="1" w:styleId="ListAlpha2">
    <w:name w:val="List Alpha 2"/>
    <w:basedOn w:val="List2"/>
    <w:rsid w:val="00640BDF"/>
    <w:pPr>
      <w:numPr>
        <w:numId w:val="8"/>
      </w:numPr>
    </w:pPr>
  </w:style>
  <w:style w:type="paragraph" w:styleId="List2">
    <w:name w:val="List 2"/>
    <w:basedOn w:val="BodyText"/>
    <w:rsid w:val="00640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B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B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0BDF"/>
    <w:pPr>
      <w:numPr>
        <w:numId w:val="4"/>
      </w:numPr>
    </w:pPr>
  </w:style>
  <w:style w:type="paragraph" w:styleId="ListContinue2">
    <w:name w:val="List Continue 2"/>
    <w:basedOn w:val="List2"/>
    <w:rsid w:val="00640BDF"/>
    <w:pPr>
      <w:ind w:firstLine="0"/>
    </w:pPr>
  </w:style>
  <w:style w:type="paragraph" w:styleId="ListContinue3">
    <w:name w:val="List Continue 3"/>
    <w:basedOn w:val="List3"/>
    <w:rsid w:val="00640BDF"/>
    <w:pPr>
      <w:ind w:left="1021" w:firstLine="0"/>
    </w:pPr>
  </w:style>
  <w:style w:type="paragraph" w:styleId="ListContinue4">
    <w:name w:val="List Continue 4"/>
    <w:basedOn w:val="List4"/>
    <w:rsid w:val="00640BDF"/>
    <w:pPr>
      <w:ind w:firstLine="0"/>
    </w:pPr>
  </w:style>
  <w:style w:type="paragraph" w:styleId="ListContinue5">
    <w:name w:val="List Continue 5"/>
    <w:basedOn w:val="List5"/>
    <w:rsid w:val="00640BDF"/>
    <w:pPr>
      <w:ind w:firstLine="0"/>
    </w:pPr>
  </w:style>
  <w:style w:type="paragraph" w:styleId="ListNumber3">
    <w:name w:val="List Number 3"/>
    <w:basedOn w:val="List3"/>
    <w:rsid w:val="00640BDF"/>
    <w:pPr>
      <w:numPr>
        <w:numId w:val="5"/>
      </w:numPr>
    </w:pPr>
  </w:style>
  <w:style w:type="paragraph" w:styleId="ListNumber4">
    <w:name w:val="List Number 4"/>
    <w:basedOn w:val="List4"/>
    <w:rsid w:val="00640BDF"/>
    <w:pPr>
      <w:numPr>
        <w:numId w:val="6"/>
      </w:numPr>
    </w:pPr>
  </w:style>
  <w:style w:type="paragraph" w:styleId="ListNumber5">
    <w:name w:val="List Number 5"/>
    <w:basedOn w:val="List5"/>
    <w:rsid w:val="00640BDF"/>
    <w:pPr>
      <w:numPr>
        <w:numId w:val="7"/>
      </w:numPr>
    </w:pPr>
  </w:style>
  <w:style w:type="paragraph" w:styleId="BlockText">
    <w:name w:val="Block Text"/>
    <w:basedOn w:val="Normal"/>
    <w:rsid w:val="00640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BDF"/>
    <w:rPr>
      <w:sz w:val="16"/>
      <w:vertAlign w:val="superscript"/>
    </w:rPr>
  </w:style>
  <w:style w:type="character" w:customStyle="1" w:styleId="Symbols">
    <w:name w:val="Symbols"/>
    <w:basedOn w:val="DefaultParagraphFont"/>
    <w:rsid w:val="00640BDF"/>
    <w:rPr>
      <w:rFonts w:ascii="Symbol" w:hAnsi="Symbol"/>
    </w:rPr>
  </w:style>
  <w:style w:type="character" w:customStyle="1" w:styleId="MenuOptions">
    <w:name w:val="Menu Options"/>
    <w:basedOn w:val="DefaultParagraphFont"/>
    <w:rsid w:val="00640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BDF"/>
    <w:rPr>
      <w:b/>
    </w:rPr>
  </w:style>
  <w:style w:type="character" w:customStyle="1" w:styleId="Underlined">
    <w:name w:val="Underlined"/>
    <w:basedOn w:val="DefaultParagraphFont"/>
    <w:rsid w:val="00640BDF"/>
    <w:rPr>
      <w:u w:val="single"/>
    </w:rPr>
  </w:style>
  <w:style w:type="paragraph" w:customStyle="1" w:styleId="TableBodyTextRight">
    <w:name w:val="Table Body Text Right"/>
    <w:basedOn w:val="TableBodyText"/>
    <w:rsid w:val="00640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BDF"/>
    <w:rPr>
      <w:sz w:val="18"/>
    </w:rPr>
  </w:style>
  <w:style w:type="paragraph" w:customStyle="1" w:styleId="BodySmallRight">
    <w:name w:val="Body Small Right"/>
    <w:basedOn w:val="BodyTextRight"/>
    <w:rsid w:val="00640BDF"/>
    <w:rPr>
      <w:sz w:val="18"/>
      <w:szCs w:val="18"/>
    </w:rPr>
  </w:style>
  <w:style w:type="paragraph" w:customStyle="1" w:styleId="MarginEdition">
    <w:name w:val="Margin Edition"/>
    <w:basedOn w:val="MarginNote"/>
    <w:rsid w:val="00640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BDF"/>
    <w:rPr>
      <w:sz w:val="2"/>
      <w:szCs w:val="2"/>
    </w:rPr>
  </w:style>
  <w:style w:type="character" w:customStyle="1" w:styleId="Small">
    <w:name w:val="Small"/>
    <w:basedOn w:val="DefaultParagraphFont"/>
    <w:rsid w:val="00640BDF"/>
    <w:rPr>
      <w:sz w:val="16"/>
    </w:rPr>
  </w:style>
  <w:style w:type="paragraph" w:customStyle="1" w:styleId="WideTable">
    <w:name w:val="Wide Table"/>
    <w:basedOn w:val="Normal"/>
    <w:rsid w:val="00640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BDF"/>
  </w:style>
  <w:style w:type="paragraph" w:styleId="Quote">
    <w:name w:val="Quote"/>
    <w:basedOn w:val="Heading1"/>
    <w:link w:val="QuoteChar"/>
    <w:qFormat/>
    <w:rsid w:val="00640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BDF"/>
    <w:pPr>
      <w:pageBreakBefore/>
    </w:pPr>
  </w:style>
  <w:style w:type="paragraph" w:customStyle="1" w:styleId="Border">
    <w:name w:val="Border"/>
    <w:basedOn w:val="Normal"/>
    <w:qFormat/>
    <w:rsid w:val="00640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BDF"/>
    <w:rPr>
      <w:u w:val="single"/>
    </w:rPr>
  </w:style>
  <w:style w:type="character" w:customStyle="1" w:styleId="BoldandItalics">
    <w:name w:val="Bold and Italics"/>
    <w:qFormat/>
    <w:rsid w:val="00640BDF"/>
    <w:rPr>
      <w:b/>
      <w:i/>
      <w:u w:val="none"/>
    </w:rPr>
  </w:style>
  <w:style w:type="paragraph" w:styleId="BalloonText">
    <w:name w:val="Balloon Text"/>
    <w:basedOn w:val="Normal"/>
    <w:link w:val="BalloonTextChar"/>
    <w:rsid w:val="00640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BDF"/>
    <w:pPr>
      <w:spacing w:before="0" w:after="0"/>
    </w:pPr>
  </w:style>
  <w:style w:type="paragraph" w:customStyle="1" w:styleId="BodyTextBold">
    <w:name w:val="Body Text Bold"/>
    <w:basedOn w:val="BodyText"/>
    <w:qFormat/>
    <w:rsid w:val="00640BDF"/>
    <w:rPr>
      <w:b/>
    </w:rPr>
  </w:style>
  <w:style w:type="character" w:styleId="Hyperlink">
    <w:name w:val="Hyperlink"/>
    <w:basedOn w:val="DefaultParagraphFont"/>
    <w:uiPriority w:val="99"/>
    <w:unhideWhenUsed/>
    <w:rsid w:val="00EE2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2193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CPCCST3001 Dress and mould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