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96B" w:rsidP="005419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CPCCST2005 Carry out load slinging of off-site materials</w:t>
      </w:r>
      <w:r>
        <w:fldChar w:fldCharType="end"/>
      </w:r>
    </w:p>
    <w:p w:rsidR="0054196B" w:rsidP="0054196B">
      <w:pPr>
        <w:pStyle w:val="Version"/>
        <w:sectPr w:rsidSect="00A872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87245" w:rsidP="00A87245">
      <w:pPr>
        <w:pStyle w:val="SuperHeading"/>
      </w:pPr>
      <w:r w:rsidRPr="00A87245">
        <w:t>Assessment Requirements for CPCCST2005 Carry out load slinging of off-site materials</w:t>
      </w:r>
    </w:p>
    <w:p w:rsidR="00000000" w:rsidRPr="00A87245" w:rsidP="00A87245">
      <w:pPr>
        <w:pStyle w:val="Heading1"/>
      </w:pPr>
      <w:bookmarkStart w:id="1" w:name="O_1291912"/>
      <w:bookmarkEnd w:id="1"/>
      <w:r w:rsidRPr="00A872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87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45">
            <w:pPr>
              <w:pStyle w:val="BodyText"/>
              <w:rPr>
                <w:lang w:val="en-NZ"/>
              </w:rPr>
            </w:pPr>
            <w:r w:rsidRPr="00A8724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45">
            <w:pPr>
              <w:pStyle w:val="BodyText"/>
              <w:rPr>
                <w:lang w:val="en-NZ"/>
              </w:rPr>
            </w:pPr>
            <w:r w:rsidRPr="00A87245">
              <w:t>Updated reference to general construction induction training program.</w:t>
            </w:r>
          </w:p>
        </w:tc>
      </w:tr>
      <w:tr w:rsidTr="00A87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45">
            <w:pPr>
              <w:pStyle w:val="BodyText"/>
              <w:rPr>
                <w:lang w:val="en-NZ"/>
              </w:rPr>
            </w:pPr>
            <w:r w:rsidRPr="00A8724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45" w:rsidP="00A87245">
            <w:pPr>
              <w:pStyle w:val="BodyText"/>
            </w:pPr>
            <w:r w:rsidRPr="00A87245">
              <w:t>This version first released with CPC Construction, Plumbing and Services Training Package Release 5.1.</w:t>
            </w:r>
          </w:p>
          <w:p w:rsidR="00000000" w:rsidP="00A87245">
            <w:pPr>
              <w:pStyle w:val="BodyText"/>
              <w:rPr>
                <w:lang w:val="en-NZ"/>
              </w:rPr>
            </w:pPr>
            <w:r w:rsidRPr="00A87245">
              <w:t>Knowledge Evidence formatted for clarity.</w:t>
            </w:r>
          </w:p>
        </w:tc>
      </w:tr>
      <w:tr w:rsidTr="00A87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245">
            <w:pPr>
              <w:pStyle w:val="BodyText"/>
              <w:rPr>
                <w:lang w:val="en-NZ"/>
              </w:rPr>
            </w:pPr>
            <w:r w:rsidRPr="00A8724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245" w:rsidP="00A87245">
            <w:pPr>
              <w:pStyle w:val="BodyText"/>
            </w:pPr>
            <w:r w:rsidRPr="00A87245">
              <w:t>This version first released with CPC Construction, Plumbing and Services Training Package Release 5.</w:t>
            </w:r>
            <w:r w:rsidRPr="00A87245">
              <w:t>0.</w:t>
            </w:r>
          </w:p>
          <w:p w:rsidR="00000000" w:rsidRPr="00A87245" w:rsidP="00A87245">
            <w:pPr>
              <w:pStyle w:val="BodyText"/>
            </w:pPr>
            <w:r w:rsidRPr="00A87245">
              <w:t>Supersedes and is equivalent to CPCCST2005A Carry out load slinging of off-site materials.  Updated to meet the Standards for Training Packages 2012.</w:t>
            </w:r>
          </w:p>
        </w:tc>
      </w:tr>
    </w:tbl>
    <w:p w:rsidR="0054196B" w:rsidP="00A87245">
      <w:pPr>
        <w:pStyle w:val="BodyText"/>
      </w:pPr>
    </w:p>
    <w:p w:rsidR="0054196B" w:rsidP="00A87245">
      <w:pPr>
        <w:pStyle w:val="BodyText"/>
      </w:pPr>
    </w:p>
    <w:p w:rsidR="00000000" w:rsidRPr="00A87245" w:rsidP="00A87245">
      <w:pPr>
        <w:pStyle w:val="Heading1"/>
      </w:pPr>
      <w:bookmarkStart w:id="2" w:name="O_1291911"/>
      <w:bookmarkEnd w:id="2"/>
      <w:r w:rsidRPr="00A87245">
        <w:t>Performance Evidence</w:t>
      </w:r>
    </w:p>
    <w:p w:rsidR="00000000" w:rsidRPr="00A87245" w:rsidP="0054196B">
      <w:pPr>
        <w:pStyle w:val="BodyText"/>
      </w:pPr>
      <w:r w:rsidRPr="00A87245">
        <w:t>To demonstrate competency in this unit, a candidate must mee</w:t>
      </w:r>
      <w:r w:rsidRPr="00A87245">
        <w:t>t the performance criteria of this unit by slinging and moving three loads of different weight, size and shape under supervision.</w:t>
      </w:r>
    </w:p>
    <w:p w:rsidR="00000000" w:rsidRPr="00A87245" w:rsidP="0054196B">
      <w:pPr>
        <w:pStyle w:val="BodyText"/>
      </w:pPr>
      <w:r w:rsidRPr="00A87245">
        <w:t>In doing this, the candidate must:</w:t>
      </w:r>
    </w:p>
    <w:p w:rsidR="00000000" w:rsidRPr="00A87245" w:rsidP="00A87245">
      <w:pPr>
        <w:pStyle w:val="ListBullet"/>
      </w:pPr>
      <w:r w:rsidRPr="00A87245">
        <w:t>select correct slinging equipment for the load</w:t>
      </w:r>
    </w:p>
    <w:p w:rsidR="00000000" w:rsidRPr="00A87245" w:rsidP="00A87245">
      <w:pPr>
        <w:pStyle w:val="ListBullet"/>
      </w:pPr>
      <w:r w:rsidRPr="00A87245">
        <w:t>connect slinging and liftin</w:t>
      </w:r>
      <w:r w:rsidRPr="00A87245">
        <w:t>g equipment securely and safely to load</w:t>
      </w:r>
    </w:p>
    <w:p w:rsidR="00000000" w:rsidRPr="00A87245" w:rsidP="00A87245">
      <w:pPr>
        <w:pStyle w:val="ListBullet"/>
      </w:pPr>
      <w:r w:rsidRPr="00A87245">
        <w:t>apply safe and effective techniques to carry out movement and placement of materials</w:t>
      </w:r>
    </w:p>
    <w:p w:rsidR="00000000" w:rsidRPr="00A87245" w:rsidP="00A87245">
      <w:pPr>
        <w:pStyle w:val="ListBullet"/>
      </w:pPr>
      <w:r w:rsidRPr="00A87245">
        <w:t>use appropriate communication techniques to assist with moving a load.</w:t>
      </w:r>
    </w:p>
    <w:p w:rsidR="00000000" w:rsidRPr="00A87245" w:rsidP="00A87245">
      <w:pPr>
        <w:pStyle w:val="AllowPageBreak"/>
      </w:pPr>
    </w:p>
    <w:p w:rsidR="00000000" w:rsidRPr="00A87245" w:rsidP="00A87245">
      <w:pPr>
        <w:pStyle w:val="Heading1"/>
      </w:pPr>
      <w:bookmarkStart w:id="3" w:name="O_1291910"/>
      <w:bookmarkEnd w:id="3"/>
      <w:r w:rsidRPr="00A87245">
        <w:t>Knowledge Evidence</w:t>
      </w:r>
    </w:p>
    <w:p w:rsidR="00000000" w:rsidRPr="00A87245" w:rsidP="0054196B">
      <w:pPr>
        <w:pStyle w:val="BodyText"/>
      </w:pPr>
      <w:r w:rsidRPr="00A87245">
        <w:t>To be competent in thi</w:t>
      </w:r>
      <w:r w:rsidRPr="00A87245">
        <w:t>s unit, a person must demonstrate knowledge of:</w:t>
      </w:r>
    </w:p>
    <w:p w:rsidR="00000000" w:rsidRPr="00A87245" w:rsidP="00A87245">
      <w:pPr>
        <w:pStyle w:val="ListBullet"/>
      </w:pPr>
      <w:r w:rsidRPr="00A87245">
        <w:t>terminology relating to slinging and moving materials</w:t>
      </w:r>
    </w:p>
    <w:p w:rsidR="00000000" w:rsidRPr="00A87245" w:rsidP="00A87245">
      <w:pPr>
        <w:pStyle w:val="ListBullet"/>
      </w:pPr>
      <w:r w:rsidRPr="00A87245">
        <w:t>techniques for:</w:t>
      </w:r>
    </w:p>
    <w:p w:rsidR="00000000" w:rsidRPr="00A87245" w:rsidP="00A87245">
      <w:pPr>
        <w:pStyle w:val="ListBullet2"/>
      </w:pPr>
      <w:r w:rsidRPr="00A87245">
        <w:t>storing and stacking materials safely and securely</w:t>
      </w:r>
    </w:p>
    <w:p w:rsidR="00000000" w:rsidRPr="00A87245" w:rsidP="00A87245">
      <w:pPr>
        <w:pStyle w:val="ListBullet2"/>
      </w:pPr>
      <w:r w:rsidRPr="00A87245">
        <w:t>measuring slings and moving and placing materials</w:t>
      </w:r>
    </w:p>
    <w:p w:rsidR="00000000" w:rsidRPr="00A87245" w:rsidP="00A87245">
      <w:pPr>
        <w:pStyle w:val="ListBullet2"/>
      </w:pPr>
      <w:r w:rsidRPr="00A87245">
        <w:t xml:space="preserve">using basic hand signals  </w:t>
      </w:r>
    </w:p>
    <w:p w:rsidR="00000000" w:rsidRPr="00A87245" w:rsidP="00A87245">
      <w:pPr>
        <w:pStyle w:val="ListBullet"/>
      </w:pPr>
      <w:r w:rsidRPr="00A87245">
        <w:t>types a</w:t>
      </w:r>
      <w:r w:rsidRPr="00A87245">
        <w:t>nd characteristics of materials used in stonemasonry work:</w:t>
      </w:r>
    </w:p>
    <w:p w:rsidR="00000000" w:rsidRPr="00A87245" w:rsidP="00A87245">
      <w:pPr>
        <w:pStyle w:val="ListBullet2"/>
      </w:pPr>
      <w:r w:rsidRPr="00A87245">
        <w:t>crates of fittings</w:t>
      </w:r>
    </w:p>
    <w:p w:rsidR="00000000" w:rsidRPr="00A87245" w:rsidP="00A87245">
      <w:pPr>
        <w:pStyle w:val="ListBullet2"/>
      </w:pPr>
      <w:r w:rsidRPr="00A87245">
        <w:t>packs of metal sections</w:t>
      </w:r>
    </w:p>
    <w:p w:rsidR="00000000" w:rsidRPr="00A87245" w:rsidP="00A87245">
      <w:pPr>
        <w:pStyle w:val="ListBullet2"/>
      </w:pPr>
      <w:r w:rsidRPr="00A87245">
        <w:t>packs of pipe lengths</w:t>
      </w:r>
    </w:p>
    <w:p w:rsidR="00000000" w:rsidRPr="00A87245" w:rsidP="00A87245">
      <w:pPr>
        <w:pStyle w:val="ListBullet2"/>
      </w:pPr>
      <w:r w:rsidRPr="00A87245">
        <w:t>packs of sheet material</w:t>
      </w:r>
    </w:p>
    <w:p w:rsidR="00000000" w:rsidRPr="00A87245" w:rsidP="00A87245">
      <w:pPr>
        <w:pStyle w:val="ListBullet2"/>
      </w:pPr>
      <w:r w:rsidRPr="00A87245">
        <w:t>packs of timber</w:t>
      </w:r>
    </w:p>
    <w:p w:rsidR="00000000" w:rsidRPr="00A87245" w:rsidP="00A87245">
      <w:pPr>
        <w:pStyle w:val="ListBullet2"/>
      </w:pPr>
      <w:r w:rsidRPr="00A87245">
        <w:t>pallets of bagged material</w:t>
      </w:r>
    </w:p>
    <w:p w:rsidR="00000000" w:rsidRPr="00A87245" w:rsidP="00A87245">
      <w:pPr>
        <w:pStyle w:val="ListBullet2"/>
      </w:pPr>
      <w:r w:rsidRPr="00A87245">
        <w:t>pre-cast concrete</w:t>
      </w:r>
    </w:p>
    <w:p w:rsidR="00000000" w:rsidRPr="00A87245" w:rsidP="00A87245">
      <w:pPr>
        <w:pStyle w:val="ListBullet2"/>
      </w:pPr>
      <w:r w:rsidRPr="00A87245">
        <w:t>steel sections</w:t>
      </w:r>
    </w:p>
    <w:p w:rsidR="00000000" w:rsidRPr="00A87245" w:rsidP="00A87245">
      <w:pPr>
        <w:pStyle w:val="ListBullet2"/>
      </w:pPr>
      <w:r w:rsidRPr="00A87245">
        <w:t>stone sections</w:t>
      </w:r>
    </w:p>
    <w:p w:rsidR="00000000" w:rsidRPr="00A87245" w:rsidP="00A87245">
      <w:pPr>
        <w:pStyle w:val="ListBullet"/>
      </w:pPr>
      <w:r w:rsidRPr="00A87245">
        <w:t>tools and equipment:</w:t>
      </w:r>
    </w:p>
    <w:p w:rsidR="00000000" w:rsidRPr="00A87245" w:rsidP="00A87245">
      <w:pPr>
        <w:pStyle w:val="ListBullet2"/>
      </w:pPr>
      <w:r w:rsidRPr="00A87245">
        <w:t>chain slings and hook</w:t>
      </w:r>
    </w:p>
    <w:p w:rsidR="00000000" w:rsidRPr="00A87245" w:rsidP="00A87245">
      <w:pPr>
        <w:pStyle w:val="ListBullet2"/>
      </w:pPr>
      <w:r w:rsidRPr="00A87245">
        <w:t>lifting beams</w:t>
      </w:r>
    </w:p>
    <w:p w:rsidR="00000000" w:rsidRPr="00A87245" w:rsidP="00A87245">
      <w:pPr>
        <w:pStyle w:val="ListBullet2"/>
      </w:pPr>
      <w:r w:rsidRPr="00A87245">
        <w:t>lifting clutches</w:t>
      </w:r>
    </w:p>
    <w:p w:rsidR="00000000" w:rsidRPr="00A87245" w:rsidP="00A87245">
      <w:pPr>
        <w:pStyle w:val="ListBullet2"/>
      </w:pPr>
      <w:r w:rsidRPr="00A87245">
        <w:t>mobile pendant operated cranes</w:t>
      </w:r>
    </w:p>
    <w:p w:rsidR="00000000" w:rsidRPr="00A87245" w:rsidP="00A87245">
      <w:pPr>
        <w:pStyle w:val="ListBullet2"/>
      </w:pPr>
      <w:r w:rsidRPr="00A87245">
        <w:t>nylon ropes</w:t>
      </w:r>
    </w:p>
    <w:p w:rsidR="00000000" w:rsidRPr="00A87245" w:rsidP="00A87245">
      <w:pPr>
        <w:pStyle w:val="ListBullet2"/>
      </w:pPr>
      <w:r w:rsidRPr="00A87245">
        <w:t>packing</w:t>
      </w:r>
    </w:p>
    <w:p w:rsidR="00000000" w:rsidRPr="00A87245" w:rsidP="00A87245">
      <w:pPr>
        <w:pStyle w:val="ListBullet2"/>
      </w:pPr>
      <w:r w:rsidRPr="00A87245">
        <w:t>ropes</w:t>
      </w:r>
    </w:p>
    <w:p w:rsidR="00000000" w:rsidRPr="00A87245" w:rsidP="00A87245">
      <w:pPr>
        <w:pStyle w:val="ListBullet2"/>
      </w:pPr>
      <w:r w:rsidRPr="00A87245">
        <w:t>shackles and eye bolts</w:t>
      </w:r>
    </w:p>
    <w:p w:rsidR="00000000" w:rsidRPr="00A87245" w:rsidP="00A87245">
      <w:pPr>
        <w:pStyle w:val="ListBullet2"/>
      </w:pPr>
      <w:r w:rsidRPr="00A87245">
        <w:t>spanners</w:t>
      </w:r>
    </w:p>
    <w:p w:rsidR="00000000" w:rsidRPr="00A87245" w:rsidP="00A87245">
      <w:pPr>
        <w:pStyle w:val="ListBullet2"/>
      </w:pPr>
      <w:r w:rsidRPr="00A87245">
        <w:t>strongbacks</w:t>
      </w:r>
    </w:p>
    <w:p w:rsidR="00000000" w:rsidRPr="00A87245" w:rsidP="00A87245">
      <w:pPr>
        <w:pStyle w:val="ListBullet"/>
      </w:pPr>
      <w:r w:rsidRPr="00A87245">
        <w:t>workplace safety:</w:t>
      </w:r>
    </w:p>
    <w:p w:rsidR="00000000" w:rsidRPr="00A87245" w:rsidP="00A87245">
      <w:pPr>
        <w:pStyle w:val="ListBullet2"/>
      </w:pPr>
      <w:r w:rsidRPr="00A87245">
        <w:t>hazardous manual tasks</w:t>
      </w:r>
    </w:p>
    <w:p w:rsidR="00000000" w:rsidRPr="00A87245" w:rsidP="00A87245">
      <w:pPr>
        <w:pStyle w:val="ListBullet2"/>
      </w:pPr>
      <w:r w:rsidRPr="00A87245">
        <w:t>job safety and environmental analysis (JSEA)</w:t>
      </w:r>
    </w:p>
    <w:p w:rsidR="00000000" w:rsidRPr="00A87245" w:rsidP="00A87245">
      <w:pPr>
        <w:pStyle w:val="ListBullet2"/>
      </w:pPr>
      <w:r w:rsidRPr="00A87245">
        <w:t>exposure to silica dust</w:t>
      </w:r>
    </w:p>
    <w:p w:rsidR="00000000" w:rsidRPr="00A87245" w:rsidP="00A87245">
      <w:pPr>
        <w:pStyle w:val="ListBullet2"/>
      </w:pPr>
      <w:r w:rsidRPr="00A87245">
        <w:t>exposure to loud noise</w:t>
      </w:r>
    </w:p>
    <w:p w:rsidR="00000000" w:rsidRPr="00A87245" w:rsidP="00A87245">
      <w:pPr>
        <w:pStyle w:val="ListBullet2"/>
      </w:pPr>
      <w:r w:rsidRPr="00A87245">
        <w:t>hazard identification</w:t>
      </w:r>
    </w:p>
    <w:p w:rsidR="00000000" w:rsidRPr="00A87245" w:rsidP="00A87245">
      <w:pPr>
        <w:pStyle w:val="ListBullet2"/>
      </w:pPr>
      <w:r w:rsidRPr="00A87245">
        <w:t>overhead hazards</w:t>
      </w:r>
    </w:p>
    <w:p w:rsidR="00000000" w:rsidRPr="00A87245" w:rsidP="00A87245">
      <w:pPr>
        <w:pStyle w:val="ListBullet2"/>
      </w:pPr>
      <w:r w:rsidRPr="00A87245">
        <w:t>equipment safety</w:t>
      </w:r>
    </w:p>
    <w:p w:rsidR="00000000" w:rsidRPr="00A87245" w:rsidP="00A87245">
      <w:pPr>
        <w:pStyle w:val="ListBullet2"/>
      </w:pPr>
      <w:r w:rsidRPr="00A87245">
        <w:t>vibration</w:t>
      </w:r>
    </w:p>
    <w:p w:rsidR="00000000" w:rsidRPr="00A87245" w:rsidP="00A87245">
      <w:pPr>
        <w:pStyle w:val="ListBullet"/>
      </w:pPr>
      <w:r w:rsidRPr="00A87245">
        <w:t>environmental requirements for workplace processes and waste disposal</w:t>
      </w:r>
    </w:p>
    <w:p w:rsidR="00000000" w:rsidRPr="00A87245" w:rsidP="00A87245">
      <w:pPr>
        <w:pStyle w:val="ListBullet"/>
      </w:pPr>
      <w:r w:rsidRPr="00A87245">
        <w:t>stonemasonry regulations, standards and codes</w:t>
      </w:r>
    </w:p>
    <w:p w:rsidR="00000000" w:rsidRPr="00A87245" w:rsidP="00A87245">
      <w:pPr>
        <w:pStyle w:val="ListBullet"/>
      </w:pPr>
      <w:r w:rsidRPr="00A87245">
        <w:t xml:space="preserve">workplace procedures </w:t>
      </w:r>
    </w:p>
    <w:p w:rsidR="00000000" w:rsidRPr="00A87245" w:rsidP="00A87245">
      <w:pPr>
        <w:pStyle w:val="ListBullet"/>
      </w:pPr>
      <w:r w:rsidRPr="00A87245">
        <w:t>digital tools and devices to source information and communicate with others.</w:t>
      </w:r>
    </w:p>
    <w:p w:rsidR="00000000" w:rsidRPr="00A87245" w:rsidP="00A87245">
      <w:pPr>
        <w:pStyle w:val="AllowPageBreak"/>
      </w:pPr>
    </w:p>
    <w:p w:rsidR="00000000" w:rsidRPr="00A87245" w:rsidP="00A87245">
      <w:pPr>
        <w:pStyle w:val="Heading1"/>
      </w:pPr>
      <w:bookmarkStart w:id="4" w:name="O_1291909"/>
      <w:bookmarkEnd w:id="4"/>
      <w:r w:rsidRPr="00A87245">
        <w:t>Assessment Conditions</w:t>
      </w:r>
    </w:p>
    <w:p w:rsidR="00000000" w:rsidRPr="00A87245" w:rsidP="0054196B">
      <w:pPr>
        <w:pStyle w:val="BodyText"/>
      </w:pPr>
      <w:r w:rsidRPr="00A87245">
        <w:t>Assessors must meet the requirements for assessors contained in the St</w:t>
      </w:r>
      <w:r w:rsidRPr="00A87245">
        <w:t xml:space="preserve">andards for Registered Training Organisations. </w:t>
      </w:r>
    </w:p>
    <w:p w:rsidR="00000000" w:rsidRPr="00A87245" w:rsidP="0054196B">
      <w:pPr>
        <w:pStyle w:val="BodyText"/>
      </w:pPr>
      <w:r w:rsidRPr="00A87245">
        <w:t>This unit must be assessed in the workplace or a close simulation reflecting workplace conditions and standards, materials, equipment, activities, responsibilities, procedures, safety requirements and environ</w:t>
      </w:r>
      <w:r w:rsidRPr="00A87245">
        <w:t>mental considerations.</w:t>
      </w:r>
    </w:p>
    <w:p w:rsidR="00000000" w:rsidRPr="00A87245" w:rsidP="00A87245">
      <w:pPr>
        <w:pStyle w:val="Heading1"/>
      </w:pPr>
      <w:bookmarkStart w:id="5" w:name="O_1291922"/>
      <w:bookmarkEnd w:id="5"/>
      <w:r w:rsidRPr="00A87245">
        <w:t>Links</w:t>
      </w:r>
    </w:p>
    <w:p w:rsidR="00000000" w:rsidRPr="00A87245" w:rsidP="0054196B">
      <w:pPr>
        <w:pStyle w:val="BodyText"/>
      </w:pPr>
      <w:r w:rsidRPr="00A8724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0089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87245" w:rsidP="00A87245"/>
    <w:sectPr w:rsidSect="00A872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2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245" w:rsidRPr="0054196B" w:rsidP="005419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2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6B" w:rsidP="00A87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96B" w:rsidP="00A87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4196B" w:rsidP="00A872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2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245" w:rsidRPr="0054196B" w:rsidP="005419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2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6B" w:rsidRPr="002D2AF8" w:rsidP="00A87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CPCCST2005 Carry out load slinging of off-site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4196B" w:rsidP="00A872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E9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1CD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B03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2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2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2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2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2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2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2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2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2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2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245"/>
  </w:style>
  <w:style w:type="character" w:customStyle="1" w:styleId="Heading1Char">
    <w:name w:val="Heading 1 Char"/>
    <w:basedOn w:val="DefaultParagraphFont"/>
    <w:link w:val="Heading1"/>
    <w:rsid w:val="00A872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2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2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2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72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2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2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2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2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2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2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2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2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2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2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2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2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2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2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2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2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2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2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7245"/>
    <w:rPr>
      <w:b/>
      <w:spacing w:val="0"/>
    </w:rPr>
  </w:style>
  <w:style w:type="paragraph" w:customStyle="1" w:styleId="SuperTitle">
    <w:name w:val="SuperTitle"/>
    <w:basedOn w:val="Title"/>
    <w:rsid w:val="00A872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2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2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2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2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2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2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2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2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2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2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2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245"/>
    <w:rPr>
      <w:i/>
    </w:rPr>
  </w:style>
  <w:style w:type="paragraph" w:styleId="Caption">
    <w:name w:val="caption"/>
    <w:basedOn w:val="BodyText"/>
    <w:next w:val="Normal"/>
    <w:qFormat/>
    <w:rsid w:val="00A872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2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2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245"/>
  </w:style>
  <w:style w:type="paragraph" w:styleId="TableofFigures">
    <w:name w:val="table of figures"/>
    <w:basedOn w:val="Normal"/>
    <w:next w:val="Normal"/>
    <w:semiHidden/>
    <w:rsid w:val="00A872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2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7245"/>
    <w:rPr>
      <w:rFonts w:ascii="Wingdings" w:hAnsi="Wingdings"/>
    </w:rPr>
  </w:style>
  <w:style w:type="paragraph" w:customStyle="1" w:styleId="TableHeading">
    <w:name w:val="Table Heading"/>
    <w:basedOn w:val="HeadingBase"/>
    <w:rsid w:val="00A872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245"/>
    <w:rPr>
      <w:color w:val="0033CC"/>
      <w:u w:val="none"/>
    </w:rPr>
  </w:style>
  <w:style w:type="paragraph" w:customStyle="1" w:styleId="BodyTextRight">
    <w:name w:val="Body Text Right"/>
    <w:basedOn w:val="BodyText"/>
    <w:rsid w:val="00A872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2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2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2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2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2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245"/>
    <w:rPr>
      <w:sz w:val="32"/>
    </w:rPr>
  </w:style>
  <w:style w:type="paragraph" w:customStyle="1" w:styleId="HeadingProcedure">
    <w:name w:val="Heading Procedure"/>
    <w:basedOn w:val="HeadingBase"/>
    <w:next w:val="Normal"/>
    <w:rsid w:val="00A872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245"/>
    <w:pPr>
      <w:spacing w:before="60" w:after="60"/>
    </w:pPr>
  </w:style>
  <w:style w:type="paragraph" w:styleId="ListContinue">
    <w:name w:val="List Continue"/>
    <w:basedOn w:val="List"/>
    <w:rsid w:val="00A87245"/>
    <w:pPr>
      <w:ind w:firstLine="0"/>
    </w:pPr>
  </w:style>
  <w:style w:type="paragraph" w:customStyle="1" w:styleId="ListNote">
    <w:name w:val="List Note"/>
    <w:basedOn w:val="List"/>
    <w:rsid w:val="00A872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2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2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245"/>
    <w:rPr>
      <w:rFonts w:ascii="Courier New" w:hAnsi="Courier New"/>
    </w:rPr>
  </w:style>
  <w:style w:type="paragraph" w:customStyle="1" w:styleId="NoteBullet">
    <w:name w:val="Note Bullet"/>
    <w:basedOn w:val="Note"/>
    <w:rsid w:val="00A872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2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2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2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2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72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2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245"/>
    <w:rPr>
      <w:b/>
      <w:smallCaps/>
    </w:rPr>
  </w:style>
  <w:style w:type="paragraph" w:customStyle="1" w:styleId="TableListNumber">
    <w:name w:val="Table List Number"/>
    <w:basedOn w:val="ListNumber"/>
    <w:rsid w:val="00A872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2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245"/>
    <w:pPr>
      <w:numPr>
        <w:numId w:val="9"/>
      </w:numPr>
    </w:pPr>
  </w:style>
  <w:style w:type="paragraph" w:customStyle="1" w:styleId="ListAlpha2">
    <w:name w:val="List Alpha 2"/>
    <w:basedOn w:val="List2"/>
    <w:rsid w:val="00A87245"/>
    <w:pPr>
      <w:numPr>
        <w:numId w:val="8"/>
      </w:numPr>
    </w:pPr>
  </w:style>
  <w:style w:type="paragraph" w:styleId="List2">
    <w:name w:val="List 2"/>
    <w:basedOn w:val="BodyText"/>
    <w:rsid w:val="00A872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2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2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2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2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2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7245"/>
    <w:pPr>
      <w:numPr>
        <w:numId w:val="4"/>
      </w:numPr>
    </w:pPr>
  </w:style>
  <w:style w:type="paragraph" w:styleId="ListContinue2">
    <w:name w:val="List Continue 2"/>
    <w:basedOn w:val="List2"/>
    <w:rsid w:val="00A87245"/>
    <w:pPr>
      <w:ind w:firstLine="0"/>
    </w:pPr>
  </w:style>
  <w:style w:type="paragraph" w:styleId="ListContinue3">
    <w:name w:val="List Continue 3"/>
    <w:basedOn w:val="List3"/>
    <w:rsid w:val="00A87245"/>
    <w:pPr>
      <w:ind w:left="1021" w:firstLine="0"/>
    </w:pPr>
  </w:style>
  <w:style w:type="paragraph" w:styleId="ListContinue4">
    <w:name w:val="List Continue 4"/>
    <w:basedOn w:val="List4"/>
    <w:rsid w:val="00A87245"/>
    <w:pPr>
      <w:ind w:firstLine="0"/>
    </w:pPr>
  </w:style>
  <w:style w:type="paragraph" w:styleId="ListContinue5">
    <w:name w:val="List Continue 5"/>
    <w:basedOn w:val="List5"/>
    <w:rsid w:val="00A87245"/>
    <w:pPr>
      <w:ind w:firstLine="0"/>
    </w:pPr>
  </w:style>
  <w:style w:type="paragraph" w:styleId="ListNumber3">
    <w:name w:val="List Number 3"/>
    <w:basedOn w:val="List3"/>
    <w:rsid w:val="00A87245"/>
    <w:pPr>
      <w:numPr>
        <w:numId w:val="5"/>
      </w:numPr>
    </w:pPr>
  </w:style>
  <w:style w:type="paragraph" w:styleId="ListNumber4">
    <w:name w:val="List Number 4"/>
    <w:basedOn w:val="List4"/>
    <w:rsid w:val="00A87245"/>
    <w:pPr>
      <w:numPr>
        <w:numId w:val="6"/>
      </w:numPr>
    </w:pPr>
  </w:style>
  <w:style w:type="paragraph" w:styleId="ListNumber5">
    <w:name w:val="List Number 5"/>
    <w:basedOn w:val="List5"/>
    <w:rsid w:val="00A87245"/>
    <w:pPr>
      <w:numPr>
        <w:numId w:val="7"/>
      </w:numPr>
    </w:pPr>
  </w:style>
  <w:style w:type="paragraph" w:styleId="BlockText">
    <w:name w:val="Block Text"/>
    <w:basedOn w:val="Normal"/>
    <w:rsid w:val="00A872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2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245"/>
    <w:rPr>
      <w:sz w:val="16"/>
      <w:vertAlign w:val="superscript"/>
    </w:rPr>
  </w:style>
  <w:style w:type="character" w:customStyle="1" w:styleId="Symbols">
    <w:name w:val="Symbols"/>
    <w:basedOn w:val="DefaultParagraphFont"/>
    <w:rsid w:val="00A87245"/>
    <w:rPr>
      <w:rFonts w:ascii="Symbol" w:hAnsi="Symbol"/>
    </w:rPr>
  </w:style>
  <w:style w:type="character" w:customStyle="1" w:styleId="MenuOptions">
    <w:name w:val="Menu Options"/>
    <w:basedOn w:val="DefaultParagraphFont"/>
    <w:rsid w:val="00A872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245"/>
    <w:rPr>
      <w:b/>
    </w:rPr>
  </w:style>
  <w:style w:type="character" w:customStyle="1" w:styleId="Underlined">
    <w:name w:val="Underlined"/>
    <w:basedOn w:val="DefaultParagraphFont"/>
    <w:rsid w:val="00A87245"/>
    <w:rPr>
      <w:u w:val="single"/>
    </w:rPr>
  </w:style>
  <w:style w:type="paragraph" w:customStyle="1" w:styleId="TableBodyTextRight">
    <w:name w:val="Table Body Text Right"/>
    <w:basedOn w:val="TableBodyText"/>
    <w:rsid w:val="00A872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245"/>
    <w:rPr>
      <w:sz w:val="18"/>
    </w:rPr>
  </w:style>
  <w:style w:type="paragraph" w:customStyle="1" w:styleId="BodySmallRight">
    <w:name w:val="Body Small Right"/>
    <w:basedOn w:val="BodyTextRight"/>
    <w:rsid w:val="00A87245"/>
    <w:rPr>
      <w:sz w:val="18"/>
      <w:szCs w:val="18"/>
    </w:rPr>
  </w:style>
  <w:style w:type="paragraph" w:customStyle="1" w:styleId="MarginEdition">
    <w:name w:val="Margin Edition"/>
    <w:basedOn w:val="MarginNote"/>
    <w:rsid w:val="00A872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245"/>
    <w:rPr>
      <w:sz w:val="2"/>
      <w:szCs w:val="2"/>
    </w:rPr>
  </w:style>
  <w:style w:type="character" w:customStyle="1" w:styleId="Small">
    <w:name w:val="Small"/>
    <w:basedOn w:val="DefaultParagraphFont"/>
    <w:rsid w:val="00A87245"/>
    <w:rPr>
      <w:sz w:val="16"/>
    </w:rPr>
  </w:style>
  <w:style w:type="paragraph" w:customStyle="1" w:styleId="WideTable">
    <w:name w:val="Wide Table"/>
    <w:basedOn w:val="Normal"/>
    <w:rsid w:val="00A872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245"/>
  </w:style>
  <w:style w:type="paragraph" w:styleId="Quote">
    <w:name w:val="Quote"/>
    <w:basedOn w:val="Heading1"/>
    <w:link w:val="QuoteChar"/>
    <w:qFormat/>
    <w:rsid w:val="00A872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2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245"/>
    <w:pPr>
      <w:pageBreakBefore/>
    </w:pPr>
  </w:style>
  <w:style w:type="paragraph" w:customStyle="1" w:styleId="Border">
    <w:name w:val="Border"/>
    <w:basedOn w:val="Normal"/>
    <w:qFormat/>
    <w:rsid w:val="00A872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2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2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2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2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2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2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2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2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245"/>
    <w:rPr>
      <w:u w:val="single"/>
    </w:rPr>
  </w:style>
  <w:style w:type="character" w:customStyle="1" w:styleId="BoldandItalics">
    <w:name w:val="Bold and Italics"/>
    <w:qFormat/>
    <w:rsid w:val="00A87245"/>
    <w:rPr>
      <w:b/>
      <w:i/>
      <w:u w:val="none"/>
    </w:rPr>
  </w:style>
  <w:style w:type="paragraph" w:styleId="BalloonText">
    <w:name w:val="Balloon Text"/>
    <w:basedOn w:val="Normal"/>
    <w:link w:val="BalloonTextChar"/>
    <w:rsid w:val="00A87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2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2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2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2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2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245"/>
    <w:pPr>
      <w:spacing w:before="0" w:after="0"/>
    </w:pPr>
  </w:style>
  <w:style w:type="paragraph" w:customStyle="1" w:styleId="BodyTextBold">
    <w:name w:val="Body Text Bold"/>
    <w:basedOn w:val="BodyText"/>
    <w:qFormat/>
    <w:rsid w:val="00A87245"/>
    <w:rPr>
      <w:b/>
    </w:rPr>
  </w:style>
  <w:style w:type="character" w:styleId="Hyperlink">
    <w:name w:val="Hyperlink"/>
    <w:basedOn w:val="DefaultParagraphFont"/>
    <w:uiPriority w:val="99"/>
    <w:unhideWhenUsed/>
    <w:rsid w:val="005419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405</Words>
  <Characters>2654</Characters>
  <Application>Microsoft Office Word</Application>
  <DocSecurity>0</DocSecurity>
  <Lines>88</Lines>
  <Paragraphs>78</Paragraphs>
  <ScaleCrop>false</ScaleCrop>
  <Company>Author-it Software Corporation Ltd.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CPCCST2005 Carry out load slinging of off-site materials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