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0EF" w:rsidP="00175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CPCCST2003 Finish stone</w:t>
      </w:r>
      <w:r>
        <w:fldChar w:fldCharType="end"/>
      </w:r>
    </w:p>
    <w:p w:rsidR="001750EF" w:rsidP="001750EF">
      <w:pPr>
        <w:pStyle w:val="Version"/>
        <w:sectPr w:rsidSect="008E1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1C4F" w:rsidP="008E1C4F">
      <w:pPr>
        <w:pStyle w:val="SuperHeading"/>
      </w:pPr>
      <w:r w:rsidRPr="008E1C4F">
        <w:t>Assessment Requirements for CPCCST2003 Finish stone</w:t>
      </w:r>
    </w:p>
    <w:p w:rsidR="00000000" w:rsidRPr="008E1C4F" w:rsidP="008E1C4F">
      <w:pPr>
        <w:pStyle w:val="Heading1"/>
      </w:pPr>
      <w:bookmarkStart w:id="1" w:name="O_1291960"/>
      <w:bookmarkEnd w:id="1"/>
      <w:r w:rsidRPr="008E1C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1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C4F">
            <w:pPr>
              <w:pStyle w:val="BodyText"/>
              <w:rPr>
                <w:lang w:val="en-NZ"/>
              </w:rPr>
            </w:pPr>
            <w:r w:rsidRPr="008E1C4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C4F">
            <w:pPr>
              <w:pStyle w:val="BodyText"/>
              <w:rPr>
                <w:lang w:val="en-NZ"/>
              </w:rPr>
            </w:pPr>
            <w:r w:rsidRPr="008E1C4F">
              <w:t>Updated reference to general construction induction training program.</w:t>
            </w:r>
          </w:p>
        </w:tc>
      </w:tr>
      <w:tr w:rsidTr="008E1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C4F">
            <w:pPr>
              <w:pStyle w:val="BodyText"/>
              <w:rPr>
                <w:lang w:val="en-NZ"/>
              </w:rPr>
            </w:pPr>
            <w:r w:rsidRPr="008E1C4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C4F" w:rsidP="008E1C4F">
            <w:pPr>
              <w:pStyle w:val="BodyText"/>
            </w:pPr>
            <w:r w:rsidRPr="008E1C4F">
              <w:t>This version first released with CPC Construction, Plumbing and Services Training Package Release 5.0.</w:t>
            </w:r>
          </w:p>
          <w:p w:rsidR="00000000" w:rsidRPr="008E1C4F" w:rsidP="008E1C4F">
            <w:pPr>
              <w:pStyle w:val="BodyText"/>
            </w:pPr>
            <w:r w:rsidRPr="008E1C4F">
              <w:t xml:space="preserve">Supersedes and is equivalent to </w:t>
            </w:r>
            <w:r w:rsidRPr="008E1C4F">
              <w:t>CPCCST2003A Finish stone.  Updated to meet the Standards for Training Packages 2012.</w:t>
            </w:r>
          </w:p>
        </w:tc>
      </w:tr>
    </w:tbl>
    <w:p w:rsidR="00000000" w:rsidRPr="008E1C4F" w:rsidP="008E1C4F">
      <w:pPr>
        <w:pStyle w:val="BodyText"/>
      </w:pPr>
    </w:p>
    <w:p w:rsidR="00000000" w:rsidRPr="008E1C4F" w:rsidP="008E1C4F">
      <w:pPr>
        <w:pStyle w:val="AllowPageBreak"/>
      </w:pPr>
    </w:p>
    <w:p w:rsidR="00000000" w:rsidRPr="008E1C4F" w:rsidP="008E1C4F">
      <w:pPr>
        <w:pStyle w:val="Heading1"/>
      </w:pPr>
      <w:bookmarkStart w:id="2" w:name="O_1291959"/>
      <w:bookmarkEnd w:id="2"/>
      <w:r w:rsidRPr="008E1C4F">
        <w:t>Performance Evidence</w:t>
      </w:r>
    </w:p>
    <w:p w:rsidR="00000000" w:rsidRPr="008E1C4F" w:rsidP="001750EF">
      <w:pPr>
        <w:pStyle w:val="BodyText"/>
      </w:pPr>
      <w:r w:rsidRPr="008E1C4F">
        <w:t xml:space="preserve">To demonstrate competency in this unit, a candidate must meet the performance criteria of this unit by cutting and polishing one </w:t>
      </w:r>
      <w:r w:rsidRPr="008E1C4F">
        <w:t>hard stone and one soft stone with a minimum size of 190 mm x 190 mm x 190 mm.</w:t>
      </w:r>
    </w:p>
    <w:p w:rsidR="00000000" w:rsidRPr="008E1C4F" w:rsidP="001750EF">
      <w:pPr>
        <w:pStyle w:val="BodyText"/>
      </w:pPr>
      <w:r w:rsidRPr="008E1C4F">
        <w:t>In doing this, the candidate must:</w:t>
      </w:r>
    </w:p>
    <w:p w:rsidR="00000000" w:rsidRPr="008E1C4F" w:rsidP="008E1C4F">
      <w:pPr>
        <w:pStyle w:val="ListBullet"/>
      </w:pPr>
      <w:r w:rsidRPr="008E1C4F">
        <w:t>use two types of cutting equipment</w:t>
      </w:r>
    </w:p>
    <w:p w:rsidR="00000000" w:rsidRPr="008E1C4F" w:rsidP="008E1C4F">
      <w:pPr>
        <w:pStyle w:val="ListBullet"/>
      </w:pPr>
      <w:r w:rsidRPr="008E1C4F">
        <w:t>use two types of polishing equipment</w:t>
      </w:r>
    </w:p>
    <w:p w:rsidR="00000000" w:rsidRPr="008E1C4F" w:rsidP="008E1C4F">
      <w:pPr>
        <w:pStyle w:val="ListBullet"/>
      </w:pPr>
      <w:r w:rsidRPr="008E1C4F">
        <w:t>use two types of abrasives and polishing compounds.</w:t>
      </w:r>
    </w:p>
    <w:p w:rsidR="00000000" w:rsidRPr="008E1C4F" w:rsidP="008E1C4F">
      <w:pPr>
        <w:pStyle w:val="AllowPageBreak"/>
      </w:pPr>
    </w:p>
    <w:p w:rsidR="00000000" w:rsidRPr="008E1C4F" w:rsidP="008E1C4F">
      <w:pPr>
        <w:pStyle w:val="Heading1"/>
      </w:pPr>
      <w:bookmarkStart w:id="3" w:name="O_1291958"/>
      <w:bookmarkEnd w:id="3"/>
      <w:r w:rsidRPr="008E1C4F">
        <w:t>Knowledge Evidence</w:t>
      </w:r>
    </w:p>
    <w:p w:rsidR="00000000" w:rsidRPr="008E1C4F" w:rsidP="001750EF">
      <w:pPr>
        <w:pStyle w:val="BodyText"/>
      </w:pPr>
      <w:r w:rsidRPr="008E1C4F">
        <w:t>To be competent in this unit, a person must demonstrate knowledge of:</w:t>
      </w:r>
    </w:p>
    <w:p w:rsidR="00000000" w:rsidRPr="008E1C4F" w:rsidP="008E1C4F">
      <w:pPr>
        <w:pStyle w:val="ListBullet"/>
      </w:pPr>
      <w:r w:rsidRPr="008E1C4F">
        <w:t>characteristics, applications and limitations of specified materials and products for cutting and finishing stone:</w:t>
      </w:r>
    </w:p>
    <w:p w:rsidR="00000000" w:rsidRPr="008E1C4F" w:rsidP="008E1C4F">
      <w:pPr>
        <w:pStyle w:val="ListBullet2"/>
      </w:pPr>
      <w:r w:rsidRPr="008E1C4F">
        <w:t>soft and hard stone</w:t>
      </w:r>
    </w:p>
    <w:p w:rsidR="00000000" w:rsidRPr="008E1C4F" w:rsidP="008E1C4F">
      <w:pPr>
        <w:pStyle w:val="ListBullet2"/>
      </w:pPr>
      <w:r w:rsidRPr="008E1C4F">
        <w:t xml:space="preserve">coolants used in the </w:t>
      </w:r>
      <w:r w:rsidRPr="008E1C4F">
        <w:t>polishing process</w:t>
      </w:r>
    </w:p>
    <w:p w:rsidR="00000000" w:rsidRPr="008E1C4F" w:rsidP="008E1C4F">
      <w:pPr>
        <w:pStyle w:val="ListBullet2"/>
      </w:pPr>
      <w:r w:rsidRPr="008E1C4F">
        <w:t>range and grades of polishing compounds</w:t>
      </w:r>
    </w:p>
    <w:p w:rsidR="00000000" w:rsidRPr="008E1C4F" w:rsidP="008E1C4F">
      <w:pPr>
        <w:pStyle w:val="ListBullet2"/>
      </w:pPr>
      <w:r w:rsidRPr="008E1C4F">
        <w:t>adhesives and fillers</w:t>
      </w:r>
    </w:p>
    <w:p w:rsidR="00000000" w:rsidRPr="008E1C4F" w:rsidP="008E1C4F">
      <w:pPr>
        <w:pStyle w:val="ListBullet"/>
      </w:pPr>
      <w:r w:rsidRPr="008E1C4F">
        <w:t>processes and techniques for:</w:t>
      </w:r>
    </w:p>
    <w:p w:rsidR="00000000" w:rsidRPr="008E1C4F" w:rsidP="008E1C4F">
      <w:pPr>
        <w:pStyle w:val="ListBullet2"/>
      </w:pPr>
      <w:r w:rsidRPr="008E1C4F">
        <w:t>material protection and storage</w:t>
      </w:r>
    </w:p>
    <w:p w:rsidR="00000000" w:rsidRPr="008E1C4F" w:rsidP="008E1C4F">
      <w:pPr>
        <w:pStyle w:val="ListBullet2"/>
      </w:pPr>
      <w:r w:rsidRPr="008E1C4F">
        <w:t>cutting stone</w:t>
      </w:r>
    </w:p>
    <w:p w:rsidR="00000000" w:rsidRPr="008E1C4F" w:rsidP="008E1C4F">
      <w:pPr>
        <w:pStyle w:val="ListBullet"/>
      </w:pPr>
      <w:r w:rsidRPr="008E1C4F">
        <w:t>primary and secondary cutting machines</w:t>
      </w:r>
    </w:p>
    <w:p w:rsidR="00000000" w:rsidRPr="008E1C4F" w:rsidP="008E1C4F">
      <w:pPr>
        <w:pStyle w:val="ListBullet"/>
      </w:pPr>
      <w:r w:rsidRPr="008E1C4F">
        <w:t>correct sequencing of various polishing heads</w:t>
      </w:r>
    </w:p>
    <w:p w:rsidR="00000000" w:rsidRPr="008E1C4F" w:rsidP="008E1C4F">
      <w:pPr>
        <w:pStyle w:val="ListBullet"/>
      </w:pPr>
      <w:r w:rsidRPr="008E1C4F">
        <w:t>functional and operational features of equipment and hand and power tools:</w:t>
      </w:r>
    </w:p>
    <w:p w:rsidR="00000000" w:rsidRPr="008E1C4F" w:rsidP="008E1C4F">
      <w:pPr>
        <w:pStyle w:val="ListBullet2"/>
      </w:pPr>
      <w:r w:rsidRPr="008E1C4F">
        <w:t>angle grinders</w:t>
      </w:r>
    </w:p>
    <w:p w:rsidR="00000000" w:rsidRPr="008E1C4F" w:rsidP="008E1C4F">
      <w:pPr>
        <w:pStyle w:val="ListBullet2"/>
      </w:pPr>
      <w:r w:rsidRPr="008E1C4F">
        <w:t>buffs</w:t>
      </w:r>
    </w:p>
    <w:p w:rsidR="00000000" w:rsidRPr="008E1C4F" w:rsidP="008E1C4F">
      <w:pPr>
        <w:pStyle w:val="ListBullet2"/>
      </w:pPr>
      <w:r w:rsidRPr="008E1C4F">
        <w:t>circular saws</w:t>
      </w:r>
    </w:p>
    <w:p w:rsidR="00000000" w:rsidRPr="008E1C4F" w:rsidP="008E1C4F">
      <w:pPr>
        <w:pStyle w:val="ListBullet2"/>
      </w:pPr>
      <w:r w:rsidRPr="008E1C4F">
        <w:t>drills</w:t>
      </w:r>
    </w:p>
    <w:p w:rsidR="00000000" w:rsidRPr="008E1C4F" w:rsidP="008E1C4F">
      <w:pPr>
        <w:pStyle w:val="ListBullet2"/>
      </w:pPr>
      <w:r w:rsidRPr="008E1C4F">
        <w:t>edge polishers</w:t>
      </w:r>
    </w:p>
    <w:p w:rsidR="00000000" w:rsidRPr="008E1C4F" w:rsidP="008E1C4F">
      <w:pPr>
        <w:pStyle w:val="ListBullet2"/>
      </w:pPr>
      <w:r w:rsidRPr="008E1C4F">
        <w:t xml:space="preserve">frame saws </w:t>
      </w:r>
    </w:p>
    <w:p w:rsidR="00000000" w:rsidRPr="008E1C4F" w:rsidP="008E1C4F">
      <w:pPr>
        <w:pStyle w:val="ListBullet2"/>
      </w:pPr>
      <w:r w:rsidRPr="008E1C4F">
        <w:t xml:space="preserve">hole saws </w:t>
      </w:r>
    </w:p>
    <w:p w:rsidR="00000000" w:rsidRPr="008E1C4F" w:rsidP="008E1C4F">
      <w:pPr>
        <w:pStyle w:val="ListBullet2"/>
      </w:pPr>
      <w:r w:rsidRPr="008E1C4F">
        <w:t>Jenny Lind type polishers</w:t>
      </w:r>
    </w:p>
    <w:p w:rsidR="00000000" w:rsidRPr="008E1C4F" w:rsidP="008E1C4F">
      <w:pPr>
        <w:pStyle w:val="ListBullet2"/>
      </w:pPr>
      <w:r w:rsidRPr="008E1C4F">
        <w:t>line polishers</w:t>
      </w:r>
    </w:p>
    <w:p w:rsidR="00000000" w:rsidRPr="008E1C4F" w:rsidP="008E1C4F">
      <w:pPr>
        <w:pStyle w:val="ListBullet2"/>
      </w:pPr>
      <w:r w:rsidRPr="008E1C4F">
        <w:t xml:space="preserve">milling machines </w:t>
      </w:r>
    </w:p>
    <w:p w:rsidR="00000000" w:rsidRPr="008E1C4F" w:rsidP="008E1C4F">
      <w:pPr>
        <w:pStyle w:val="ListBullet2"/>
      </w:pPr>
      <w:r w:rsidRPr="008E1C4F">
        <w:t xml:space="preserve">rise and fall saws </w:t>
      </w:r>
    </w:p>
    <w:p w:rsidR="00000000" w:rsidRPr="008E1C4F" w:rsidP="008E1C4F">
      <w:pPr>
        <w:pStyle w:val="ListBullet2"/>
      </w:pPr>
      <w:r w:rsidRPr="008E1C4F">
        <w:t>rotating or transverse tables</w:t>
      </w:r>
    </w:p>
    <w:p w:rsidR="00000000" w:rsidRPr="008E1C4F" w:rsidP="008E1C4F">
      <w:pPr>
        <w:pStyle w:val="ListBullet2"/>
      </w:pPr>
      <w:r w:rsidRPr="008E1C4F">
        <w:t>stationary slab polishers</w:t>
      </w:r>
    </w:p>
    <w:p w:rsidR="00000000" w:rsidRPr="008E1C4F" w:rsidP="008E1C4F">
      <w:pPr>
        <w:pStyle w:val="ListBullet2"/>
      </w:pPr>
      <w:r w:rsidRPr="008E1C4F">
        <w:t>twin tables</w:t>
      </w:r>
    </w:p>
    <w:p w:rsidR="00000000" w:rsidRPr="008E1C4F" w:rsidP="008E1C4F">
      <w:pPr>
        <w:pStyle w:val="ListBullet2"/>
      </w:pPr>
      <w:r w:rsidRPr="008E1C4F">
        <w:t>wire saws</w:t>
      </w:r>
    </w:p>
    <w:p w:rsidR="00000000" w:rsidRPr="008E1C4F" w:rsidP="008E1C4F">
      <w:pPr>
        <w:pStyle w:val="ListBullet"/>
      </w:pPr>
      <w:r w:rsidRPr="008E1C4F">
        <w:t>workplace processes and procedures for stonemasonry</w:t>
      </w:r>
    </w:p>
    <w:p w:rsidR="00000000" w:rsidRPr="008E1C4F" w:rsidP="008E1C4F">
      <w:pPr>
        <w:pStyle w:val="ListBullet"/>
      </w:pPr>
      <w:r w:rsidRPr="008E1C4F">
        <w:t>workplace safety:</w:t>
      </w:r>
    </w:p>
    <w:p w:rsidR="00000000" w:rsidRPr="008E1C4F" w:rsidP="008E1C4F">
      <w:pPr>
        <w:pStyle w:val="ListBullet2"/>
      </w:pPr>
      <w:r w:rsidRPr="008E1C4F">
        <w:t>job safety and environment analysis (JSEA)</w:t>
      </w:r>
    </w:p>
    <w:p w:rsidR="00000000" w:rsidRPr="008E1C4F" w:rsidP="008E1C4F">
      <w:pPr>
        <w:pStyle w:val="ListBullet2"/>
      </w:pPr>
      <w:r w:rsidRPr="008E1C4F">
        <w:t xml:space="preserve">exposure to silica dust </w:t>
      </w:r>
    </w:p>
    <w:p w:rsidR="00000000" w:rsidRPr="008E1C4F" w:rsidP="008E1C4F">
      <w:pPr>
        <w:pStyle w:val="ListBullet2"/>
      </w:pPr>
      <w:r w:rsidRPr="008E1C4F">
        <w:t>exposure to loud noise</w:t>
      </w:r>
    </w:p>
    <w:p w:rsidR="00000000" w:rsidRPr="008E1C4F" w:rsidP="008E1C4F">
      <w:pPr>
        <w:pStyle w:val="ListBullet2"/>
      </w:pPr>
      <w:r w:rsidRPr="008E1C4F">
        <w:t>hazardous manua</w:t>
      </w:r>
      <w:r w:rsidRPr="008E1C4F">
        <w:t>l tasks</w:t>
      </w:r>
    </w:p>
    <w:p w:rsidR="00000000" w:rsidRPr="008E1C4F" w:rsidP="008E1C4F">
      <w:pPr>
        <w:pStyle w:val="ListBullet2"/>
      </w:pPr>
      <w:r w:rsidRPr="008E1C4F">
        <w:t>hazardous goods</w:t>
      </w:r>
    </w:p>
    <w:p w:rsidR="00000000" w:rsidRPr="008E1C4F" w:rsidP="008E1C4F">
      <w:pPr>
        <w:pStyle w:val="ListBullet2"/>
      </w:pPr>
      <w:r w:rsidRPr="008E1C4F">
        <w:t>vibration</w:t>
      </w:r>
    </w:p>
    <w:p w:rsidR="00000000" w:rsidRPr="008E1C4F" w:rsidP="008E1C4F">
      <w:pPr>
        <w:pStyle w:val="ListBullet2"/>
      </w:pPr>
      <w:r w:rsidRPr="008E1C4F">
        <w:t>chemical handling and storing</w:t>
      </w:r>
    </w:p>
    <w:p w:rsidR="00000000" w:rsidRPr="008E1C4F" w:rsidP="008E1C4F">
      <w:pPr>
        <w:pStyle w:val="ListBullet"/>
      </w:pPr>
      <w:r w:rsidRPr="008E1C4F">
        <w:t>key features of plans and specifications</w:t>
      </w:r>
    </w:p>
    <w:p w:rsidR="00000000" w:rsidRPr="008E1C4F" w:rsidP="008E1C4F">
      <w:pPr>
        <w:pStyle w:val="ListBullet"/>
      </w:pPr>
      <w:r w:rsidRPr="008E1C4F">
        <w:t>stonemasonry regulations, standards and codes</w:t>
      </w:r>
    </w:p>
    <w:p w:rsidR="00000000" w:rsidRPr="008E1C4F" w:rsidP="008E1C4F">
      <w:pPr>
        <w:pStyle w:val="ListBullet"/>
      </w:pPr>
      <w:r w:rsidRPr="008E1C4F">
        <w:t>Mohs scale of mineral hardness</w:t>
      </w:r>
    </w:p>
    <w:p w:rsidR="00000000" w:rsidRPr="008E1C4F" w:rsidP="008E1C4F">
      <w:pPr>
        <w:pStyle w:val="ListBullet"/>
      </w:pPr>
      <w:r w:rsidRPr="008E1C4F">
        <w:t>environmental requirements for workplace processes and waste disposal.</w:t>
      </w:r>
    </w:p>
    <w:p w:rsidR="00000000" w:rsidRPr="008E1C4F" w:rsidP="008E1C4F">
      <w:pPr>
        <w:pStyle w:val="AllowPageBreak"/>
      </w:pPr>
    </w:p>
    <w:p w:rsidR="00000000" w:rsidRPr="008E1C4F" w:rsidP="008E1C4F">
      <w:pPr>
        <w:pStyle w:val="Heading1"/>
      </w:pPr>
      <w:bookmarkStart w:id="4" w:name="O_1291957"/>
      <w:bookmarkEnd w:id="4"/>
      <w:r w:rsidRPr="008E1C4F">
        <w:t>Assessment Conditions</w:t>
      </w:r>
    </w:p>
    <w:p w:rsidR="00000000" w:rsidRPr="008E1C4F" w:rsidP="001750EF">
      <w:pPr>
        <w:pStyle w:val="BodyText"/>
      </w:pPr>
      <w:r w:rsidRPr="008E1C4F">
        <w:t xml:space="preserve">Assessors must meet the requirements for assessors contained in the Standards for Registered Training Organisations. </w:t>
      </w:r>
    </w:p>
    <w:p w:rsidR="00000000" w:rsidRPr="008E1C4F" w:rsidP="001750EF">
      <w:pPr>
        <w:pStyle w:val="BodyText"/>
      </w:pPr>
      <w:r w:rsidRPr="008E1C4F">
        <w:t xml:space="preserve">This unit must be assessed in the workplace or a close simulation reflecting workplace conditions </w:t>
      </w:r>
      <w:r w:rsidRPr="008E1C4F">
        <w:t>and standards, materials, equipment, activities, responsibilities, procedures, safety requirements and environmental considerations.</w:t>
      </w:r>
    </w:p>
    <w:p w:rsidR="00000000" w:rsidRPr="008E1C4F" w:rsidP="008E1C4F">
      <w:pPr>
        <w:pStyle w:val="Heading1"/>
      </w:pPr>
      <w:bookmarkStart w:id="5" w:name="O_1291983"/>
      <w:bookmarkEnd w:id="5"/>
      <w:r w:rsidRPr="008E1C4F">
        <w:t>Links</w:t>
      </w:r>
    </w:p>
    <w:p w:rsidR="00000000" w:rsidRPr="008E1C4F" w:rsidP="001750EF">
      <w:pPr>
        <w:pStyle w:val="BodyText"/>
      </w:pPr>
      <w:r w:rsidRPr="008E1C4F">
        <w:t>Companion volumes to this training package are available at th</w:t>
      </w:r>
      <w:r w:rsidRPr="008E1C4F">
        <w:t xml:space="preserve">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0C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1C4F" w:rsidP="008E1C4F"/>
    <w:sectPr w:rsidSect="008E1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F" w:rsidRPr="001750EF" w:rsidP="00175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F" w:rsidP="008E1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0EF" w:rsidP="008E1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50EF" w:rsidP="008E1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C4F" w:rsidRPr="001750EF" w:rsidP="00175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EF" w:rsidRPr="002D2AF8" w:rsidP="008E1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CPCCST2003 Finish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50EF" w:rsidP="008E1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38A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A3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DAA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C4F"/>
  </w:style>
  <w:style w:type="character" w:customStyle="1" w:styleId="Heading1Char">
    <w:name w:val="Heading 1 Char"/>
    <w:basedOn w:val="DefaultParagraphFont"/>
    <w:link w:val="Heading1"/>
    <w:rsid w:val="008E1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C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1C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C4F"/>
    <w:rPr>
      <w:b/>
      <w:spacing w:val="0"/>
    </w:rPr>
  </w:style>
  <w:style w:type="paragraph" w:customStyle="1" w:styleId="SuperTitle">
    <w:name w:val="SuperTitle"/>
    <w:basedOn w:val="Title"/>
    <w:rsid w:val="008E1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C4F"/>
    <w:rPr>
      <w:i/>
    </w:rPr>
  </w:style>
  <w:style w:type="paragraph" w:styleId="Caption">
    <w:name w:val="caption"/>
    <w:basedOn w:val="BodyText"/>
    <w:next w:val="Normal"/>
    <w:qFormat/>
    <w:rsid w:val="008E1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C4F"/>
  </w:style>
  <w:style w:type="paragraph" w:styleId="TableofFigures">
    <w:name w:val="table of figures"/>
    <w:basedOn w:val="Normal"/>
    <w:next w:val="Normal"/>
    <w:semiHidden/>
    <w:rsid w:val="008E1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C4F"/>
    <w:rPr>
      <w:rFonts w:ascii="Wingdings" w:hAnsi="Wingdings"/>
    </w:rPr>
  </w:style>
  <w:style w:type="paragraph" w:customStyle="1" w:styleId="TableHeading">
    <w:name w:val="Table Heading"/>
    <w:basedOn w:val="HeadingBase"/>
    <w:rsid w:val="008E1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C4F"/>
    <w:rPr>
      <w:color w:val="0033CC"/>
      <w:u w:val="none"/>
    </w:rPr>
  </w:style>
  <w:style w:type="paragraph" w:customStyle="1" w:styleId="BodyTextRight">
    <w:name w:val="Body Text Right"/>
    <w:basedOn w:val="BodyText"/>
    <w:rsid w:val="008E1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C4F"/>
    <w:rPr>
      <w:sz w:val="32"/>
    </w:rPr>
  </w:style>
  <w:style w:type="paragraph" w:customStyle="1" w:styleId="HeadingProcedure">
    <w:name w:val="Heading Procedure"/>
    <w:basedOn w:val="HeadingBase"/>
    <w:next w:val="Normal"/>
    <w:rsid w:val="008E1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C4F"/>
    <w:pPr>
      <w:spacing w:before="60" w:after="60"/>
    </w:pPr>
  </w:style>
  <w:style w:type="paragraph" w:styleId="ListContinue">
    <w:name w:val="List Continue"/>
    <w:basedOn w:val="List"/>
    <w:rsid w:val="008E1C4F"/>
    <w:pPr>
      <w:ind w:firstLine="0"/>
    </w:pPr>
  </w:style>
  <w:style w:type="paragraph" w:customStyle="1" w:styleId="ListNote">
    <w:name w:val="List Note"/>
    <w:basedOn w:val="List"/>
    <w:rsid w:val="008E1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C4F"/>
    <w:rPr>
      <w:rFonts w:ascii="Courier New" w:hAnsi="Courier New"/>
    </w:rPr>
  </w:style>
  <w:style w:type="paragraph" w:customStyle="1" w:styleId="NoteBullet">
    <w:name w:val="Note Bullet"/>
    <w:basedOn w:val="Note"/>
    <w:rsid w:val="008E1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C4F"/>
    <w:rPr>
      <w:b/>
      <w:smallCaps/>
    </w:rPr>
  </w:style>
  <w:style w:type="paragraph" w:customStyle="1" w:styleId="TableListNumber">
    <w:name w:val="Table List Number"/>
    <w:basedOn w:val="ListNumber"/>
    <w:rsid w:val="008E1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C4F"/>
    <w:pPr>
      <w:numPr>
        <w:numId w:val="9"/>
      </w:numPr>
    </w:pPr>
  </w:style>
  <w:style w:type="paragraph" w:customStyle="1" w:styleId="ListAlpha2">
    <w:name w:val="List Alpha 2"/>
    <w:basedOn w:val="List2"/>
    <w:rsid w:val="008E1C4F"/>
    <w:pPr>
      <w:numPr>
        <w:numId w:val="8"/>
      </w:numPr>
    </w:pPr>
  </w:style>
  <w:style w:type="paragraph" w:styleId="List2">
    <w:name w:val="List 2"/>
    <w:basedOn w:val="BodyText"/>
    <w:rsid w:val="008E1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C4F"/>
    <w:pPr>
      <w:numPr>
        <w:numId w:val="4"/>
      </w:numPr>
    </w:pPr>
  </w:style>
  <w:style w:type="paragraph" w:styleId="ListContinue2">
    <w:name w:val="List Continue 2"/>
    <w:basedOn w:val="List2"/>
    <w:rsid w:val="008E1C4F"/>
    <w:pPr>
      <w:ind w:firstLine="0"/>
    </w:pPr>
  </w:style>
  <w:style w:type="paragraph" w:styleId="ListContinue3">
    <w:name w:val="List Continue 3"/>
    <w:basedOn w:val="List3"/>
    <w:rsid w:val="008E1C4F"/>
    <w:pPr>
      <w:ind w:left="1021" w:firstLine="0"/>
    </w:pPr>
  </w:style>
  <w:style w:type="paragraph" w:styleId="ListContinue4">
    <w:name w:val="List Continue 4"/>
    <w:basedOn w:val="List4"/>
    <w:rsid w:val="008E1C4F"/>
    <w:pPr>
      <w:ind w:firstLine="0"/>
    </w:pPr>
  </w:style>
  <w:style w:type="paragraph" w:styleId="ListContinue5">
    <w:name w:val="List Continue 5"/>
    <w:basedOn w:val="List5"/>
    <w:rsid w:val="008E1C4F"/>
    <w:pPr>
      <w:ind w:firstLine="0"/>
    </w:pPr>
  </w:style>
  <w:style w:type="paragraph" w:styleId="ListNumber3">
    <w:name w:val="List Number 3"/>
    <w:basedOn w:val="List3"/>
    <w:rsid w:val="008E1C4F"/>
    <w:pPr>
      <w:numPr>
        <w:numId w:val="5"/>
      </w:numPr>
    </w:pPr>
  </w:style>
  <w:style w:type="paragraph" w:styleId="ListNumber4">
    <w:name w:val="List Number 4"/>
    <w:basedOn w:val="List4"/>
    <w:rsid w:val="008E1C4F"/>
    <w:pPr>
      <w:numPr>
        <w:numId w:val="6"/>
      </w:numPr>
    </w:pPr>
  </w:style>
  <w:style w:type="paragraph" w:styleId="ListNumber5">
    <w:name w:val="List Number 5"/>
    <w:basedOn w:val="List5"/>
    <w:rsid w:val="008E1C4F"/>
    <w:pPr>
      <w:numPr>
        <w:numId w:val="7"/>
      </w:numPr>
    </w:pPr>
  </w:style>
  <w:style w:type="paragraph" w:styleId="BlockText">
    <w:name w:val="Block Text"/>
    <w:basedOn w:val="Normal"/>
    <w:rsid w:val="008E1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C4F"/>
    <w:rPr>
      <w:sz w:val="16"/>
      <w:vertAlign w:val="superscript"/>
    </w:rPr>
  </w:style>
  <w:style w:type="character" w:customStyle="1" w:styleId="Symbols">
    <w:name w:val="Symbols"/>
    <w:basedOn w:val="DefaultParagraphFont"/>
    <w:rsid w:val="008E1C4F"/>
    <w:rPr>
      <w:rFonts w:ascii="Symbol" w:hAnsi="Symbol"/>
    </w:rPr>
  </w:style>
  <w:style w:type="character" w:customStyle="1" w:styleId="MenuOptions">
    <w:name w:val="Menu Options"/>
    <w:basedOn w:val="DefaultParagraphFont"/>
    <w:rsid w:val="008E1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C4F"/>
    <w:rPr>
      <w:b/>
    </w:rPr>
  </w:style>
  <w:style w:type="character" w:customStyle="1" w:styleId="Underlined">
    <w:name w:val="Underlined"/>
    <w:basedOn w:val="DefaultParagraphFont"/>
    <w:rsid w:val="008E1C4F"/>
    <w:rPr>
      <w:u w:val="single"/>
    </w:rPr>
  </w:style>
  <w:style w:type="paragraph" w:customStyle="1" w:styleId="TableBodyTextRight">
    <w:name w:val="Table Body Text Right"/>
    <w:basedOn w:val="TableBodyText"/>
    <w:rsid w:val="008E1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C4F"/>
    <w:rPr>
      <w:sz w:val="18"/>
    </w:rPr>
  </w:style>
  <w:style w:type="paragraph" w:customStyle="1" w:styleId="BodySmallRight">
    <w:name w:val="Body Small Right"/>
    <w:basedOn w:val="BodyTextRight"/>
    <w:rsid w:val="008E1C4F"/>
    <w:rPr>
      <w:sz w:val="18"/>
      <w:szCs w:val="18"/>
    </w:rPr>
  </w:style>
  <w:style w:type="paragraph" w:customStyle="1" w:styleId="MarginEdition">
    <w:name w:val="Margin Edition"/>
    <w:basedOn w:val="MarginNote"/>
    <w:rsid w:val="008E1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C4F"/>
    <w:rPr>
      <w:sz w:val="2"/>
      <w:szCs w:val="2"/>
    </w:rPr>
  </w:style>
  <w:style w:type="character" w:customStyle="1" w:styleId="Small">
    <w:name w:val="Small"/>
    <w:basedOn w:val="DefaultParagraphFont"/>
    <w:rsid w:val="008E1C4F"/>
    <w:rPr>
      <w:sz w:val="16"/>
    </w:rPr>
  </w:style>
  <w:style w:type="paragraph" w:customStyle="1" w:styleId="WideTable">
    <w:name w:val="Wide Table"/>
    <w:basedOn w:val="Normal"/>
    <w:rsid w:val="008E1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C4F"/>
  </w:style>
  <w:style w:type="paragraph" w:styleId="Quote">
    <w:name w:val="Quote"/>
    <w:basedOn w:val="Heading1"/>
    <w:link w:val="QuoteChar"/>
    <w:qFormat/>
    <w:rsid w:val="008E1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C4F"/>
    <w:pPr>
      <w:pageBreakBefore/>
    </w:pPr>
  </w:style>
  <w:style w:type="paragraph" w:customStyle="1" w:styleId="Border">
    <w:name w:val="Border"/>
    <w:basedOn w:val="Normal"/>
    <w:qFormat/>
    <w:rsid w:val="008E1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C4F"/>
    <w:rPr>
      <w:u w:val="single"/>
    </w:rPr>
  </w:style>
  <w:style w:type="character" w:customStyle="1" w:styleId="BoldandItalics">
    <w:name w:val="Bold and Italics"/>
    <w:qFormat/>
    <w:rsid w:val="008E1C4F"/>
    <w:rPr>
      <w:b/>
      <w:i/>
      <w:u w:val="none"/>
    </w:rPr>
  </w:style>
  <w:style w:type="paragraph" w:styleId="BalloonText">
    <w:name w:val="Balloon Text"/>
    <w:basedOn w:val="Normal"/>
    <w:link w:val="BalloonTextChar"/>
    <w:rsid w:val="008E1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C4F"/>
    <w:pPr>
      <w:spacing w:before="0" w:after="0"/>
    </w:pPr>
  </w:style>
  <w:style w:type="paragraph" w:customStyle="1" w:styleId="BodyTextBold">
    <w:name w:val="Body Text Bold"/>
    <w:basedOn w:val="BodyText"/>
    <w:qFormat/>
    <w:rsid w:val="008E1C4F"/>
    <w:rPr>
      <w:b/>
    </w:rPr>
  </w:style>
  <w:style w:type="character" w:styleId="Hyperlink">
    <w:name w:val="Hyperlink"/>
    <w:basedOn w:val="DefaultParagraphFont"/>
    <w:uiPriority w:val="99"/>
    <w:unhideWhenUsed/>
    <w:rsid w:val="00175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2406</Characters>
  <Application>Microsoft Office Word</Application>
  <DocSecurity>0</DocSecurity>
  <Lines>82</Lines>
  <Paragraphs>73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CPCCST2003 Finish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