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1FA" w:rsidP="00F44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CPCCST2001 Prepare for stonemasonry construction process</w:t>
      </w:r>
      <w:r>
        <w:fldChar w:fldCharType="end"/>
      </w:r>
    </w:p>
    <w:p w:rsidR="00F441FA" w:rsidP="00F441FA">
      <w:pPr>
        <w:pStyle w:val="Version"/>
        <w:sectPr w:rsidSect="000C5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542A" w:rsidP="000C542A">
      <w:pPr>
        <w:pStyle w:val="SuperHeading"/>
      </w:pPr>
      <w:r w:rsidRPr="000C542A">
        <w:t>CPCCST2001 Prepare for stonemasonry construction process</w:t>
      </w:r>
    </w:p>
    <w:p w:rsidR="00000000" w:rsidRPr="000C542A" w:rsidP="000C542A">
      <w:pPr>
        <w:pStyle w:val="Heading1"/>
      </w:pPr>
      <w:bookmarkStart w:id="1" w:name="O_1292000"/>
      <w:bookmarkEnd w:id="1"/>
      <w:r w:rsidRPr="000C54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Updated reference to general construction induction training program.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2A" w:rsidP="000C542A">
            <w:pPr>
              <w:pStyle w:val="BodyText"/>
            </w:pPr>
            <w:r w:rsidRPr="000C542A">
              <w:t>This version first released with CPC Construction, Plumbing and Services Training Package Release 5.0.</w:t>
            </w:r>
          </w:p>
          <w:p w:rsidR="00000000" w:rsidRPr="000C542A" w:rsidP="000C542A">
            <w:pPr>
              <w:pStyle w:val="BodyText"/>
            </w:pPr>
            <w:r w:rsidRPr="000C542A">
              <w:t>Supersedes and is equiv</w:t>
            </w:r>
            <w:r w:rsidRPr="000C542A">
              <w:t>alent to CPCCST2001A Prepare for the stonemasonry construction process.  Updated to meet the Standards for Training Packages 2012.</w:t>
            </w:r>
          </w:p>
        </w:tc>
      </w:tr>
    </w:tbl>
    <w:p w:rsidR="00000000" w:rsidRPr="000C542A" w:rsidP="000C542A">
      <w:pPr>
        <w:pStyle w:val="BodyText"/>
      </w:pPr>
    </w:p>
    <w:p w:rsidR="00000000" w:rsidRPr="000C542A" w:rsidP="000C542A">
      <w:pPr>
        <w:pStyle w:val="AllowPageBreak"/>
      </w:pPr>
    </w:p>
    <w:p w:rsidR="00000000" w:rsidRPr="000C542A" w:rsidP="000C542A">
      <w:pPr>
        <w:pStyle w:val="Heading1"/>
      </w:pPr>
      <w:bookmarkStart w:id="2" w:name="O_1291999"/>
      <w:bookmarkEnd w:id="2"/>
      <w:r w:rsidRPr="000C542A">
        <w:t>Application</w:t>
      </w:r>
    </w:p>
    <w:p w:rsidR="00000000" w:rsidRPr="000C542A" w:rsidP="00F441FA">
      <w:pPr>
        <w:pStyle w:val="BodyText"/>
      </w:pPr>
      <w:r w:rsidRPr="000C542A">
        <w:t>This unit specifies the skills and knowledge required to undertake the preparation processes</w:t>
      </w:r>
      <w:r w:rsidRPr="000C542A">
        <w:t xml:space="preserve"> required to support the laying or placement of stone. It includes assisting in stonemasonry work by preparing materials and using a range of tools and equipment.</w:t>
      </w:r>
    </w:p>
    <w:p w:rsidR="00000000" w:rsidRPr="000C542A" w:rsidP="00F441FA">
      <w:pPr>
        <w:pStyle w:val="BodyText"/>
      </w:pPr>
      <w:r w:rsidRPr="000C542A">
        <w:t>The unit is suitable for people with basic skills and knowledge who undertake routine stonema</w:t>
      </w:r>
      <w:r w:rsidRPr="000C542A">
        <w:t>sonry work tasks under the direction of more experienced workers.</w:t>
      </w:r>
    </w:p>
    <w:p w:rsidR="00000000" w:rsidRPr="000C542A" w:rsidP="00F441FA">
      <w:pPr>
        <w:pStyle w:val="BodyText"/>
      </w:pPr>
      <w:r w:rsidRPr="000C542A">
        <w:t>Completion of the general construction induction training program specified by the model Code of Practice for Construction Work is required for any person who is to carry out construction wo</w:t>
      </w:r>
      <w:r w:rsidRPr="000C542A">
        <w:t xml:space="preserve">rk. Achievement of </w:t>
      </w:r>
      <w:r w:rsidRPr="000C542A">
        <w:rPr>
          <w:rStyle w:val="Emphasis"/>
        </w:rPr>
        <w:t xml:space="preserve">CPCWHS1001 Prepare </w:t>
      </w:r>
      <w:r w:rsidRPr="000C542A">
        <w:t xml:space="preserve">to </w:t>
      </w:r>
      <w:r w:rsidRPr="000C542A">
        <w:rPr>
          <w:rStyle w:val="Emphasis"/>
        </w:rPr>
        <w:t>work safely in the construction industry</w:t>
      </w:r>
      <w:r w:rsidRPr="000C542A">
        <w:t xml:space="preserve"> meets this requirement. </w:t>
      </w:r>
    </w:p>
    <w:p w:rsidR="00000000" w:rsidRPr="000C542A" w:rsidP="00F441FA">
      <w:pPr>
        <w:pStyle w:val="BodyText"/>
      </w:pPr>
      <w:r w:rsidRPr="000C542A">
        <w:t xml:space="preserve">No licensing, legislative or certification requirements apply to this unit at the time of publication. </w:t>
      </w:r>
    </w:p>
    <w:p w:rsidR="00000000" w:rsidRPr="000C542A" w:rsidP="000C542A">
      <w:pPr>
        <w:pStyle w:val="Heading1"/>
      </w:pPr>
      <w:bookmarkStart w:id="3" w:name="O_1291998"/>
      <w:bookmarkEnd w:id="3"/>
      <w:r w:rsidRPr="000C542A">
        <w:t>Pre-requisite Unit</w:t>
      </w:r>
    </w:p>
    <w:p w:rsidR="00000000" w:rsidRPr="000C542A" w:rsidP="00F441FA">
      <w:pPr>
        <w:pStyle w:val="BodyText"/>
      </w:pPr>
      <w:r w:rsidRPr="000C542A">
        <w:t>CPCCWHS</w:t>
      </w:r>
      <w:r w:rsidRPr="000C542A">
        <w:t>2001 Apply WHS requirements, policies and procedures in the construction industry</w:t>
      </w:r>
    </w:p>
    <w:p w:rsidR="00000000" w:rsidRPr="000C542A" w:rsidP="000C542A">
      <w:pPr>
        <w:pStyle w:val="Heading1"/>
      </w:pPr>
      <w:bookmarkStart w:id="4" w:name="O_1291997"/>
      <w:bookmarkEnd w:id="4"/>
      <w:r w:rsidRPr="000C542A">
        <w:t>Unit Sector</w:t>
      </w:r>
    </w:p>
    <w:p w:rsidR="00000000" w:rsidRPr="000C542A" w:rsidP="00F441FA">
      <w:pPr>
        <w:pStyle w:val="BodyText"/>
      </w:pPr>
      <w:r w:rsidRPr="000C542A">
        <w:t>Stonemasonry</w:t>
      </w:r>
    </w:p>
    <w:p w:rsidR="00000000" w:rsidRPr="000C542A" w:rsidP="000C542A">
      <w:pPr>
        <w:pStyle w:val="Heading1"/>
      </w:pPr>
      <w:bookmarkStart w:id="5" w:name="O_1291996"/>
      <w:bookmarkEnd w:id="5"/>
      <w:r w:rsidRPr="000C54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Performance criteria describe what needs to be done to demonstrate achievement of the element.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Read, interpret and apply stonemasonry construction requirements from current plans, specifications, standards and codes and confirm infor</w:t>
            </w:r>
            <w:r w:rsidRPr="000C542A">
              <w:t>mation with relevant person.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Source information and communicate with others using digital technology.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 xml:space="preserve">Follow requirements in workplace safety and environmental documentation and workplace procedures. 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Clarify job priorities and sequence job tasks in consultation with others on site.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Identify potential hazards and determine and implement control measures.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Use measurements and apply formulas to calculate material quantities.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Prepare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Select, fit correctly and use personal protective equipment (PPE) appropriate for job.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Check conformity of materials against the job requirements.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Select and blend stone colours as instructed and position materials ready for use.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Select and check condition of equipment and tools required for the job and report damage or faults to supervisor.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Prepare equipment and materials for mixing of</w:t>
            </w:r>
            <w:r w:rsidRPr="000C542A">
              <w:t xml:space="preserve"> mortar or adhesives.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Set up cement mixer, locate mortar boards and clear pathways for supply of mortar.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Assist with stonemasonry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 xml:space="preserve">Maintain a supply of mortar to boards and stone to stacks. 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Use hand and power tools to clean, cut and prepare stone for laying.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Assist in the set out, erection and stabilising of the scaffold.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Clean finished stonework prior to mortar drying.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2A" w:rsidP="000C542A">
            <w:pPr>
              <w:pStyle w:val="BodyText"/>
            </w:pPr>
            <w:r w:rsidRPr="000C542A">
              <w:t>Clean up.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Clear the work area, and dispose of, reuse or recycle materials following workplace and environmental requirements.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Clean tools and equipment, check for serviceability and report damage or faults.</w:t>
            </w:r>
          </w:p>
        </w:tc>
      </w:tr>
      <w:tr w:rsidTr="000C5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2A">
            <w:pPr>
              <w:pStyle w:val="BodyText"/>
              <w:rPr>
                <w:lang w:val="en-NZ"/>
              </w:rPr>
            </w:pPr>
            <w:r w:rsidRPr="000C542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2A" w:rsidP="000C542A">
            <w:pPr>
              <w:pStyle w:val="BodyText"/>
            </w:pPr>
            <w:r w:rsidRPr="000C542A">
              <w:t>Store and secure tools and equipment followin</w:t>
            </w:r>
            <w:r w:rsidRPr="000C542A">
              <w:t>g workplace procedures.</w:t>
            </w:r>
          </w:p>
        </w:tc>
      </w:tr>
    </w:tbl>
    <w:p w:rsidR="00000000" w:rsidRPr="000C542A" w:rsidP="000C542A">
      <w:pPr>
        <w:pStyle w:val="BodyText"/>
      </w:pPr>
    </w:p>
    <w:p w:rsidR="00000000" w:rsidRPr="000C542A" w:rsidP="000C542A">
      <w:pPr>
        <w:pStyle w:val="AllowPageBreak"/>
      </w:pPr>
    </w:p>
    <w:p w:rsidR="00000000" w:rsidRPr="000C542A" w:rsidP="000C542A">
      <w:pPr>
        <w:pStyle w:val="Heading1"/>
      </w:pPr>
      <w:bookmarkStart w:id="6" w:name="O_1291995"/>
      <w:bookmarkEnd w:id="6"/>
      <w:r w:rsidRPr="000C542A">
        <w:t>Foundation Skills</w:t>
      </w:r>
    </w:p>
    <w:p w:rsidR="00000000" w:rsidRPr="000C542A" w:rsidP="00F441FA">
      <w:pPr>
        <w:pStyle w:val="BodyText"/>
      </w:pPr>
      <w:r w:rsidRPr="000C542A">
        <w:t>Foundation skills essential to performance are explicit in the performance criteria of this unit of competency.</w:t>
      </w:r>
    </w:p>
    <w:p w:rsidR="00000000" w:rsidRPr="000C542A" w:rsidP="000C542A">
      <w:pPr>
        <w:pStyle w:val="Heading1"/>
      </w:pPr>
      <w:bookmarkStart w:id="7" w:name="O_1291994"/>
      <w:bookmarkEnd w:id="7"/>
      <w:r w:rsidRPr="000C542A">
        <w:t>Unit Mapping Information</w:t>
      </w:r>
    </w:p>
    <w:p w:rsidR="00000000" w:rsidRPr="000C542A" w:rsidP="00F441FA">
      <w:pPr>
        <w:pStyle w:val="BodyText"/>
      </w:pPr>
      <w:r w:rsidRPr="000C542A">
        <w:t>Supersedes and is equivalent to CPCCST2001A Prepare for stonemasonry construction process</w:t>
      </w:r>
    </w:p>
    <w:p w:rsidR="00000000" w:rsidRPr="000C542A" w:rsidP="000C542A">
      <w:pPr>
        <w:pStyle w:val="Heading1"/>
      </w:pPr>
      <w:bookmarkStart w:id="8" w:name="O_1292001"/>
      <w:bookmarkEnd w:id="8"/>
      <w:r w:rsidRPr="000C542A">
        <w:t>Links</w:t>
      </w:r>
    </w:p>
    <w:p w:rsidR="00000000" w:rsidRPr="000C542A" w:rsidP="00F441FA">
      <w:pPr>
        <w:pStyle w:val="BodyText"/>
      </w:pPr>
      <w:r w:rsidRPr="000C54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4F0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542A" w:rsidP="000C542A"/>
    <w:sectPr w:rsidSect="000C54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2A" w:rsidRPr="00F441FA" w:rsidP="00F44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FA" w:rsidP="000C5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1FA" w:rsidP="000C5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41FA" w:rsidP="000C5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42A" w:rsidRPr="00F441FA" w:rsidP="00F44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FA" w:rsidRPr="002D2AF8" w:rsidP="000C5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CPCCST2001 Prepare for stonemasonry construction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441FA" w:rsidP="000C5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42A"/>
  </w:style>
  <w:style w:type="character" w:customStyle="1" w:styleId="Heading1Char">
    <w:name w:val="Heading 1 Char"/>
    <w:basedOn w:val="DefaultParagraphFont"/>
    <w:link w:val="Heading1"/>
    <w:rsid w:val="000C5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42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C542A"/>
    <w:rPr>
      <w:i/>
    </w:rPr>
  </w:style>
  <w:style w:type="paragraph" w:customStyle="1" w:styleId="SuperHeading">
    <w:name w:val="SuperHeading"/>
    <w:basedOn w:val="Normal"/>
    <w:rsid w:val="000C5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4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4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4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5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42A"/>
    <w:rPr>
      <w:b/>
      <w:spacing w:val="0"/>
    </w:rPr>
  </w:style>
  <w:style w:type="paragraph" w:customStyle="1" w:styleId="SuperTitle">
    <w:name w:val="SuperTitle"/>
    <w:basedOn w:val="Title"/>
    <w:rsid w:val="000C5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4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4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42A"/>
  </w:style>
  <w:style w:type="paragraph" w:styleId="TableofFigures">
    <w:name w:val="table of figures"/>
    <w:basedOn w:val="Normal"/>
    <w:next w:val="Normal"/>
    <w:semiHidden/>
    <w:rsid w:val="000C5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4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542A"/>
    <w:rPr>
      <w:rFonts w:ascii="Wingdings" w:hAnsi="Wingdings"/>
    </w:rPr>
  </w:style>
  <w:style w:type="paragraph" w:customStyle="1" w:styleId="TableHeading">
    <w:name w:val="Table Heading"/>
    <w:basedOn w:val="HeadingBase"/>
    <w:rsid w:val="000C5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42A"/>
    <w:rPr>
      <w:color w:val="0033CC"/>
      <w:u w:val="none"/>
    </w:rPr>
  </w:style>
  <w:style w:type="paragraph" w:customStyle="1" w:styleId="BodyTextRight">
    <w:name w:val="Body Text Right"/>
    <w:basedOn w:val="BodyText"/>
    <w:rsid w:val="000C5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4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42A"/>
    <w:rPr>
      <w:sz w:val="32"/>
    </w:rPr>
  </w:style>
  <w:style w:type="paragraph" w:customStyle="1" w:styleId="HeadingProcedure">
    <w:name w:val="Heading Procedure"/>
    <w:basedOn w:val="HeadingBase"/>
    <w:next w:val="Normal"/>
    <w:rsid w:val="000C5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42A"/>
    <w:pPr>
      <w:spacing w:before="60" w:after="60"/>
    </w:pPr>
  </w:style>
  <w:style w:type="paragraph" w:styleId="ListContinue">
    <w:name w:val="List Continue"/>
    <w:basedOn w:val="List"/>
    <w:rsid w:val="000C542A"/>
    <w:pPr>
      <w:ind w:firstLine="0"/>
    </w:pPr>
  </w:style>
  <w:style w:type="paragraph" w:customStyle="1" w:styleId="ListNote">
    <w:name w:val="List Note"/>
    <w:basedOn w:val="List"/>
    <w:rsid w:val="000C5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42A"/>
    <w:rPr>
      <w:rFonts w:ascii="Courier New" w:hAnsi="Courier New"/>
    </w:rPr>
  </w:style>
  <w:style w:type="paragraph" w:customStyle="1" w:styleId="NoteBullet">
    <w:name w:val="Note Bullet"/>
    <w:basedOn w:val="Note"/>
    <w:rsid w:val="000C5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4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5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42A"/>
    <w:rPr>
      <w:b/>
      <w:smallCaps/>
    </w:rPr>
  </w:style>
  <w:style w:type="paragraph" w:customStyle="1" w:styleId="TableListNumber">
    <w:name w:val="Table List Number"/>
    <w:basedOn w:val="ListNumber"/>
    <w:rsid w:val="000C5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42A"/>
    <w:pPr>
      <w:numPr>
        <w:numId w:val="7"/>
      </w:numPr>
    </w:pPr>
  </w:style>
  <w:style w:type="paragraph" w:customStyle="1" w:styleId="ListAlpha2">
    <w:name w:val="List Alpha 2"/>
    <w:basedOn w:val="List2"/>
    <w:rsid w:val="000C542A"/>
    <w:pPr>
      <w:numPr>
        <w:numId w:val="6"/>
      </w:numPr>
    </w:pPr>
  </w:style>
  <w:style w:type="paragraph" w:styleId="List2">
    <w:name w:val="List 2"/>
    <w:basedOn w:val="BodyText"/>
    <w:rsid w:val="000C5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4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4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542A"/>
    <w:pPr>
      <w:numPr>
        <w:numId w:val="2"/>
      </w:numPr>
    </w:pPr>
  </w:style>
  <w:style w:type="paragraph" w:styleId="ListContinue2">
    <w:name w:val="List Continue 2"/>
    <w:basedOn w:val="List2"/>
    <w:rsid w:val="000C542A"/>
    <w:pPr>
      <w:ind w:firstLine="0"/>
    </w:pPr>
  </w:style>
  <w:style w:type="paragraph" w:styleId="ListContinue3">
    <w:name w:val="List Continue 3"/>
    <w:basedOn w:val="List3"/>
    <w:rsid w:val="000C542A"/>
    <w:pPr>
      <w:ind w:left="1021" w:firstLine="0"/>
    </w:pPr>
  </w:style>
  <w:style w:type="paragraph" w:styleId="ListContinue4">
    <w:name w:val="List Continue 4"/>
    <w:basedOn w:val="List4"/>
    <w:rsid w:val="000C542A"/>
    <w:pPr>
      <w:ind w:firstLine="0"/>
    </w:pPr>
  </w:style>
  <w:style w:type="paragraph" w:styleId="ListContinue5">
    <w:name w:val="List Continue 5"/>
    <w:basedOn w:val="List5"/>
    <w:rsid w:val="000C542A"/>
    <w:pPr>
      <w:ind w:firstLine="0"/>
    </w:pPr>
  </w:style>
  <w:style w:type="paragraph" w:styleId="ListNumber3">
    <w:name w:val="List Number 3"/>
    <w:basedOn w:val="List3"/>
    <w:rsid w:val="000C542A"/>
    <w:pPr>
      <w:numPr>
        <w:numId w:val="3"/>
      </w:numPr>
    </w:pPr>
  </w:style>
  <w:style w:type="paragraph" w:styleId="ListNumber4">
    <w:name w:val="List Number 4"/>
    <w:basedOn w:val="List4"/>
    <w:rsid w:val="000C542A"/>
    <w:pPr>
      <w:numPr>
        <w:numId w:val="4"/>
      </w:numPr>
    </w:pPr>
  </w:style>
  <w:style w:type="paragraph" w:styleId="ListNumber5">
    <w:name w:val="List Number 5"/>
    <w:basedOn w:val="List5"/>
    <w:rsid w:val="000C542A"/>
    <w:pPr>
      <w:numPr>
        <w:numId w:val="5"/>
      </w:numPr>
    </w:pPr>
  </w:style>
  <w:style w:type="paragraph" w:styleId="BlockText">
    <w:name w:val="Block Text"/>
    <w:basedOn w:val="Normal"/>
    <w:rsid w:val="000C5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42A"/>
    <w:rPr>
      <w:sz w:val="16"/>
      <w:vertAlign w:val="superscript"/>
    </w:rPr>
  </w:style>
  <w:style w:type="character" w:customStyle="1" w:styleId="Symbols">
    <w:name w:val="Symbols"/>
    <w:basedOn w:val="DefaultParagraphFont"/>
    <w:rsid w:val="000C542A"/>
    <w:rPr>
      <w:rFonts w:ascii="Symbol" w:hAnsi="Symbol"/>
    </w:rPr>
  </w:style>
  <w:style w:type="character" w:customStyle="1" w:styleId="MenuOptions">
    <w:name w:val="Menu Options"/>
    <w:basedOn w:val="DefaultParagraphFont"/>
    <w:rsid w:val="000C5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42A"/>
    <w:rPr>
      <w:b/>
    </w:rPr>
  </w:style>
  <w:style w:type="character" w:customStyle="1" w:styleId="Underlined">
    <w:name w:val="Underlined"/>
    <w:basedOn w:val="DefaultParagraphFont"/>
    <w:rsid w:val="000C542A"/>
    <w:rPr>
      <w:u w:val="single"/>
    </w:rPr>
  </w:style>
  <w:style w:type="paragraph" w:customStyle="1" w:styleId="TableBodyTextRight">
    <w:name w:val="Table Body Text Right"/>
    <w:basedOn w:val="TableBodyText"/>
    <w:rsid w:val="000C5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42A"/>
    <w:rPr>
      <w:sz w:val="18"/>
    </w:rPr>
  </w:style>
  <w:style w:type="paragraph" w:customStyle="1" w:styleId="BodySmallRight">
    <w:name w:val="Body Small Right"/>
    <w:basedOn w:val="BodyTextRight"/>
    <w:rsid w:val="000C542A"/>
    <w:rPr>
      <w:sz w:val="18"/>
      <w:szCs w:val="18"/>
    </w:rPr>
  </w:style>
  <w:style w:type="paragraph" w:customStyle="1" w:styleId="MarginEdition">
    <w:name w:val="Margin Edition"/>
    <w:basedOn w:val="MarginNote"/>
    <w:rsid w:val="000C5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42A"/>
    <w:rPr>
      <w:sz w:val="2"/>
      <w:szCs w:val="2"/>
    </w:rPr>
  </w:style>
  <w:style w:type="character" w:customStyle="1" w:styleId="Small">
    <w:name w:val="Small"/>
    <w:basedOn w:val="DefaultParagraphFont"/>
    <w:rsid w:val="000C542A"/>
    <w:rPr>
      <w:sz w:val="16"/>
    </w:rPr>
  </w:style>
  <w:style w:type="paragraph" w:customStyle="1" w:styleId="WideTable">
    <w:name w:val="Wide Table"/>
    <w:basedOn w:val="Normal"/>
    <w:rsid w:val="000C5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42A"/>
  </w:style>
  <w:style w:type="paragraph" w:styleId="Quote">
    <w:name w:val="Quote"/>
    <w:basedOn w:val="Heading1"/>
    <w:link w:val="QuoteChar"/>
    <w:qFormat/>
    <w:rsid w:val="000C5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42A"/>
    <w:pPr>
      <w:pageBreakBefore/>
    </w:pPr>
  </w:style>
  <w:style w:type="paragraph" w:customStyle="1" w:styleId="Border">
    <w:name w:val="Border"/>
    <w:basedOn w:val="Normal"/>
    <w:qFormat/>
    <w:rsid w:val="000C5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42A"/>
    <w:rPr>
      <w:u w:val="single"/>
    </w:rPr>
  </w:style>
  <w:style w:type="character" w:customStyle="1" w:styleId="BoldandItalics">
    <w:name w:val="Bold and Italics"/>
    <w:qFormat/>
    <w:rsid w:val="000C542A"/>
    <w:rPr>
      <w:b/>
      <w:i/>
      <w:u w:val="none"/>
    </w:rPr>
  </w:style>
  <w:style w:type="paragraph" w:styleId="BalloonText">
    <w:name w:val="Balloon Text"/>
    <w:basedOn w:val="Normal"/>
    <w:link w:val="BalloonTextChar"/>
    <w:rsid w:val="000C5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42A"/>
    <w:pPr>
      <w:spacing w:before="0" w:after="0"/>
    </w:pPr>
  </w:style>
  <w:style w:type="paragraph" w:customStyle="1" w:styleId="BodyTextBold">
    <w:name w:val="Body Text Bold"/>
    <w:basedOn w:val="BodyText"/>
    <w:qFormat/>
    <w:rsid w:val="000C542A"/>
    <w:rPr>
      <w:b/>
    </w:rPr>
  </w:style>
  <w:style w:type="character" w:styleId="Hyperlink">
    <w:name w:val="Hyperlink"/>
    <w:basedOn w:val="DefaultParagraphFont"/>
    <w:uiPriority w:val="99"/>
    <w:unhideWhenUsed/>
    <w:rsid w:val="00F44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3434</Characters>
  <Application>Microsoft Office Word</Application>
  <DocSecurity>0</DocSecurity>
  <Lines>171</Lines>
  <Paragraphs>88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CPCCST2001 Prepare for stonemasonry construction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