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EDD" w:rsidP="00156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CPCCST2001 Prepare for stonemasonry construction process</w:t>
      </w:r>
      <w:r>
        <w:fldChar w:fldCharType="end"/>
      </w:r>
    </w:p>
    <w:p w:rsidR="00156EDD" w:rsidP="00156EDD">
      <w:pPr>
        <w:pStyle w:val="Version"/>
        <w:sectPr w:rsidSect="00317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7505" w:rsidP="00317505">
      <w:pPr>
        <w:pStyle w:val="SuperHeading"/>
      </w:pPr>
      <w:r w:rsidRPr="00317505">
        <w:t>CPCCST2001 Prepare for stonemasonry construction process</w:t>
      </w:r>
    </w:p>
    <w:p w:rsidR="00000000" w:rsidRPr="00317505" w:rsidP="00317505">
      <w:pPr>
        <w:pStyle w:val="Heading1"/>
      </w:pPr>
      <w:bookmarkStart w:id="1" w:name="O_1292000"/>
      <w:bookmarkEnd w:id="1"/>
      <w:r w:rsidRPr="00317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Updated reference to general construction induction training program.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505" w:rsidP="00317505">
            <w:pPr>
              <w:pStyle w:val="BodyText"/>
            </w:pPr>
            <w:r w:rsidRPr="00317505">
              <w:t>This version first released with CPC Construction, Plumbing and Services Training Package Release 5.0.</w:t>
            </w:r>
          </w:p>
          <w:p w:rsidR="00000000" w:rsidRPr="00317505" w:rsidP="00317505">
            <w:pPr>
              <w:pStyle w:val="BodyText"/>
            </w:pPr>
            <w:r w:rsidRPr="00317505">
              <w:t>Supersedes and is equiv</w:t>
            </w:r>
            <w:r w:rsidRPr="00317505">
              <w:t>alent to CPCCST2001A Prepare for the stonemasonry construction process.  Updated to meet the Standards for Training Packages 2012.</w:t>
            </w:r>
          </w:p>
        </w:tc>
      </w:tr>
    </w:tbl>
    <w:p w:rsidR="00000000" w:rsidRPr="00317505" w:rsidP="00317505">
      <w:pPr>
        <w:pStyle w:val="BodyText"/>
      </w:pPr>
    </w:p>
    <w:p w:rsidR="00000000" w:rsidRPr="00317505" w:rsidP="00317505">
      <w:pPr>
        <w:pStyle w:val="AllowPageBreak"/>
      </w:pPr>
    </w:p>
    <w:p w:rsidR="00000000" w:rsidRPr="00317505" w:rsidP="00317505">
      <w:pPr>
        <w:pStyle w:val="Heading1"/>
      </w:pPr>
      <w:bookmarkStart w:id="2" w:name="O_1291999"/>
      <w:bookmarkEnd w:id="2"/>
      <w:r w:rsidRPr="00317505">
        <w:t>Application</w:t>
      </w:r>
    </w:p>
    <w:p w:rsidR="00000000" w:rsidRPr="00317505" w:rsidP="00156EDD">
      <w:pPr>
        <w:pStyle w:val="BodyText"/>
      </w:pPr>
      <w:r w:rsidRPr="00317505">
        <w:t>This unit specifies the skills and knowledge required to undertake the preparation processes</w:t>
      </w:r>
      <w:r w:rsidRPr="00317505">
        <w:t xml:space="preserve"> required to support the laying or placement of stone. It includes assisting in stonemasonry work by preparing materials and using a range of tools and equipment.</w:t>
      </w:r>
    </w:p>
    <w:p w:rsidR="00000000" w:rsidRPr="00317505" w:rsidP="00156EDD">
      <w:pPr>
        <w:pStyle w:val="BodyText"/>
      </w:pPr>
      <w:r w:rsidRPr="00317505">
        <w:t>The unit is suitable for people with basic skills and knowledge who undertake routine stonema</w:t>
      </w:r>
      <w:r w:rsidRPr="00317505">
        <w:t>sonry work tasks under the direction of more experienced workers.</w:t>
      </w:r>
    </w:p>
    <w:p w:rsidR="00000000" w:rsidRPr="00317505" w:rsidP="00156EDD">
      <w:pPr>
        <w:pStyle w:val="BodyText"/>
      </w:pPr>
      <w:r w:rsidRPr="00317505">
        <w:t>Completion of the general construction induction training program specified by the model Code of Practice for Construction Work is required for any person who is to carry out construction wo</w:t>
      </w:r>
      <w:r w:rsidRPr="00317505">
        <w:t xml:space="preserve">rk. Achievement of </w:t>
      </w:r>
      <w:r w:rsidRPr="00317505">
        <w:rPr>
          <w:rStyle w:val="Emphasis"/>
        </w:rPr>
        <w:t xml:space="preserve">CPCWHS1001 Prepare </w:t>
      </w:r>
      <w:r w:rsidRPr="00317505">
        <w:t xml:space="preserve">to </w:t>
      </w:r>
      <w:r w:rsidRPr="00317505">
        <w:rPr>
          <w:rStyle w:val="Emphasis"/>
        </w:rPr>
        <w:t>work safely in the construction industry</w:t>
      </w:r>
      <w:r w:rsidRPr="00317505">
        <w:t xml:space="preserve"> meets this requirement. </w:t>
      </w:r>
    </w:p>
    <w:p w:rsidR="00000000" w:rsidRPr="00317505" w:rsidP="00156EDD">
      <w:pPr>
        <w:pStyle w:val="BodyText"/>
      </w:pPr>
      <w:r w:rsidRPr="00317505">
        <w:t xml:space="preserve">No licensing, legislative or certification requirements apply to this unit at the time of publication. </w:t>
      </w:r>
    </w:p>
    <w:p w:rsidR="00000000" w:rsidRPr="00317505" w:rsidP="00317505">
      <w:pPr>
        <w:pStyle w:val="Heading1"/>
      </w:pPr>
      <w:bookmarkStart w:id="3" w:name="O_1291998"/>
      <w:bookmarkEnd w:id="3"/>
      <w:r w:rsidRPr="00317505">
        <w:t>Pre-requisite Unit</w:t>
      </w:r>
    </w:p>
    <w:p w:rsidR="00000000" w:rsidRPr="00317505" w:rsidP="00156EDD">
      <w:pPr>
        <w:pStyle w:val="BodyText"/>
      </w:pPr>
      <w:r w:rsidRPr="00317505">
        <w:t>CPCCWHS</w:t>
      </w:r>
      <w:r w:rsidRPr="00317505">
        <w:t>2001 Apply WHS requirements, policies and procedures in the construction industry</w:t>
      </w:r>
    </w:p>
    <w:p w:rsidR="00000000" w:rsidRPr="00317505" w:rsidP="00317505">
      <w:pPr>
        <w:pStyle w:val="Heading1"/>
      </w:pPr>
      <w:bookmarkStart w:id="4" w:name="O_1291997"/>
      <w:bookmarkEnd w:id="4"/>
      <w:r w:rsidRPr="00317505">
        <w:t>Unit Sector</w:t>
      </w:r>
    </w:p>
    <w:p w:rsidR="00000000" w:rsidRPr="00317505" w:rsidP="00156EDD">
      <w:pPr>
        <w:pStyle w:val="BodyText"/>
      </w:pPr>
      <w:r w:rsidRPr="00317505">
        <w:t>Stonemasonry</w:t>
      </w:r>
    </w:p>
    <w:p w:rsidR="00000000" w:rsidRPr="00317505" w:rsidP="00317505">
      <w:pPr>
        <w:pStyle w:val="Heading1"/>
      </w:pPr>
      <w:bookmarkStart w:id="5" w:name="O_1291996"/>
      <w:bookmarkEnd w:id="5"/>
      <w:r w:rsidRPr="003175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Performance criteria describe what needs to be done to demonstrate achievement of the element.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Read, interpret and apply stonemasonry construction requirements from current plans, specifications, standards and codes and confirm infor</w:t>
            </w:r>
            <w:r w:rsidRPr="00317505">
              <w:t>mation with relevant person.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Source information and communicate with others using digital technology.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 xml:space="preserve">Follow requirements in workplace safety and environmental documentation and workplace procedures. 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Clarify job priorities and sequence job tasks in consultation with others on site.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Identify potential hazards and determine and implement control measures.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Use measurements and apply formulas to calculate material quantities.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Select, fit correctly and use personal protective equipment (PPE) appropriate for job.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Check conformity of materials against the job requirements.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Select and blend stone colours as instructed and position materials ready for use.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Select and check condition of equipment and tools required for the job and report damage or faults to supervisor.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Prepare equipment and materials for mixing of</w:t>
            </w:r>
            <w:r w:rsidRPr="00317505">
              <w:t xml:space="preserve"> mortar or adhesives.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Set up cement mixer, locate mortar boards and clear pathways for supply of mortar.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Assist with stonemasonry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 xml:space="preserve">Maintain a supply of mortar to boards and stone to stacks. 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Use hand and powe</w:t>
            </w:r>
            <w:r w:rsidRPr="00317505">
              <w:t>r tools to clean, cut and prepare stone for laying.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Assist in the set out, erection and stabilising of the scaffold.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Clean finished stonework prior to mortar drying.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505" w:rsidP="00317505">
            <w:pPr>
              <w:pStyle w:val="BodyText"/>
            </w:pPr>
            <w:r w:rsidRPr="00317505">
              <w:t>Clean up.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Clear the work area, and dispose of, reuse or recycle materials following workplace and environmental requirements.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Clean tools and equipment, check for serviceability and report damage or faults.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505" w:rsidP="00317505">
            <w:pPr>
              <w:pStyle w:val="BodyText"/>
            </w:pPr>
            <w:r w:rsidRPr="00317505">
              <w:t>Store and secure tools and equipment followin</w:t>
            </w:r>
            <w:r w:rsidRPr="00317505">
              <w:t>g workplace procedures.</w:t>
            </w:r>
          </w:p>
        </w:tc>
      </w:tr>
    </w:tbl>
    <w:p w:rsidR="00000000" w:rsidRPr="00317505" w:rsidP="00317505">
      <w:pPr>
        <w:pStyle w:val="BodyText"/>
      </w:pPr>
    </w:p>
    <w:p w:rsidR="00000000" w:rsidRPr="00317505" w:rsidP="00317505">
      <w:pPr>
        <w:pStyle w:val="AllowPageBreak"/>
      </w:pPr>
    </w:p>
    <w:p w:rsidR="00000000" w:rsidRPr="00317505" w:rsidP="00317505">
      <w:pPr>
        <w:pStyle w:val="Heading1"/>
      </w:pPr>
      <w:bookmarkStart w:id="6" w:name="O_1291995"/>
      <w:bookmarkEnd w:id="6"/>
      <w:r w:rsidRPr="00317505">
        <w:t>Foundation Skills</w:t>
      </w:r>
    </w:p>
    <w:p w:rsidR="00000000" w:rsidRPr="00317505" w:rsidP="00156EDD">
      <w:pPr>
        <w:pStyle w:val="BodyText"/>
      </w:pPr>
      <w:r w:rsidRPr="00317505">
        <w:t>Foundation skills essential to performance are explicit in the performance criteria of this unit of competency.</w:t>
      </w:r>
    </w:p>
    <w:p w:rsidR="00000000" w:rsidRPr="00317505" w:rsidP="00317505">
      <w:pPr>
        <w:pStyle w:val="Heading1"/>
      </w:pPr>
      <w:bookmarkStart w:id="7" w:name="O_1291994"/>
      <w:bookmarkEnd w:id="7"/>
      <w:r w:rsidRPr="00317505">
        <w:t>Unit Mapping Information</w:t>
      </w:r>
    </w:p>
    <w:p w:rsidR="00000000" w:rsidRPr="00317505" w:rsidP="00156EDD">
      <w:pPr>
        <w:pStyle w:val="BodyText"/>
      </w:pPr>
      <w:r w:rsidRPr="00317505">
        <w:t>Supersedes and is equivalent to CPCCST2001A Prepare for stonemasonry construction process</w:t>
      </w:r>
    </w:p>
    <w:p w:rsidR="00000000" w:rsidRPr="00317505" w:rsidP="00317505">
      <w:pPr>
        <w:pStyle w:val="Heading1"/>
      </w:pPr>
      <w:bookmarkStart w:id="8" w:name="O_1292001"/>
      <w:bookmarkEnd w:id="8"/>
      <w:r w:rsidRPr="00317505">
        <w:t>Links</w:t>
      </w:r>
    </w:p>
    <w:p w:rsidR="00000000" w:rsidRPr="00317505" w:rsidP="00156EDD">
      <w:pPr>
        <w:pStyle w:val="BodyText"/>
      </w:pPr>
      <w:r w:rsidRPr="003175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5D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17505" w:rsidP="00156EDD">
      <w:pPr>
        <w:pStyle w:val="BodyText"/>
        <w:sectPr w:rsidSect="003175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505" w:rsidP="00317505">
      <w:pPr>
        <w:pStyle w:val="SuperHeading"/>
      </w:pPr>
      <w:r w:rsidRPr="00317505">
        <w:t>Assessment Requirements for CPCCST2001 Prepare for stonemasonry construction process</w:t>
      </w:r>
    </w:p>
    <w:p w:rsidR="00000000" w:rsidRPr="00317505" w:rsidP="00317505">
      <w:pPr>
        <w:pStyle w:val="Heading1"/>
      </w:pPr>
      <w:bookmarkStart w:id="9" w:name="O_1291992"/>
      <w:bookmarkEnd w:id="9"/>
      <w:r w:rsidRPr="00317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Updated reference to general construction inductio</w:t>
            </w:r>
            <w:r w:rsidRPr="00317505">
              <w:t>n training program.</w:t>
            </w:r>
          </w:p>
        </w:tc>
      </w:tr>
      <w:tr w:rsidTr="00317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505">
            <w:pPr>
              <w:pStyle w:val="BodyText"/>
              <w:rPr>
                <w:lang w:val="en-NZ"/>
              </w:rPr>
            </w:pPr>
            <w:r w:rsidRPr="003175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505" w:rsidP="00317505">
            <w:pPr>
              <w:pStyle w:val="BodyText"/>
            </w:pPr>
            <w:r w:rsidRPr="00317505">
              <w:t>This version first released with CPC Construction, Plumbing and Services Training Package Release 5.0.</w:t>
            </w:r>
          </w:p>
          <w:p w:rsidR="00000000" w:rsidRPr="00317505" w:rsidP="00317505">
            <w:pPr>
              <w:pStyle w:val="BodyText"/>
            </w:pPr>
            <w:r w:rsidRPr="00317505">
              <w:t>Supersedes and is equivalent to CPCCST2001A Prepare for the stonemasonry construction process.  Updated to meet the Standards for Training Packages 2012.</w:t>
            </w:r>
          </w:p>
        </w:tc>
      </w:tr>
    </w:tbl>
    <w:p w:rsidR="00000000" w:rsidRPr="00317505" w:rsidP="00317505">
      <w:pPr>
        <w:pStyle w:val="BodyText"/>
      </w:pPr>
    </w:p>
    <w:p w:rsidR="00000000" w:rsidRPr="00317505" w:rsidP="00317505">
      <w:pPr>
        <w:pStyle w:val="AllowPageBreak"/>
      </w:pPr>
    </w:p>
    <w:p w:rsidR="00000000" w:rsidRPr="00317505" w:rsidP="00317505">
      <w:pPr>
        <w:pStyle w:val="Heading1"/>
      </w:pPr>
      <w:bookmarkStart w:id="10" w:name="O_1291991"/>
      <w:bookmarkEnd w:id="10"/>
      <w:r w:rsidRPr="00317505">
        <w:t>Performance Evidence</w:t>
      </w:r>
    </w:p>
    <w:p w:rsidR="00000000" w:rsidRPr="00317505" w:rsidP="00156EDD">
      <w:pPr>
        <w:pStyle w:val="BodyText"/>
      </w:pPr>
      <w:r w:rsidRPr="00317505">
        <w:t>To demonstrate competency in this unit, a candidate must mee</w:t>
      </w:r>
      <w:r w:rsidRPr="00317505">
        <w:t>t the performance criteria of this unit by assisting with two stone masonry laying project on two different sites.</w:t>
      </w:r>
    </w:p>
    <w:p w:rsidR="00000000" w:rsidRPr="00317505" w:rsidP="00156EDD">
      <w:pPr>
        <w:pStyle w:val="BodyText"/>
      </w:pPr>
      <w:r w:rsidRPr="00317505">
        <w:t>In doing this, the candidate must:</w:t>
      </w:r>
    </w:p>
    <w:p w:rsidR="00000000" w:rsidRPr="00317505" w:rsidP="00317505">
      <w:pPr>
        <w:pStyle w:val="ListBullet"/>
      </w:pPr>
      <w:r w:rsidRPr="00317505">
        <w:t xml:space="preserve">clear the work area, position masonry materials ready for laying </w:t>
      </w:r>
    </w:p>
    <w:p w:rsidR="00000000" w:rsidRPr="00317505" w:rsidP="00317505">
      <w:pPr>
        <w:pStyle w:val="ListBullet"/>
      </w:pPr>
      <w:r w:rsidRPr="00317505">
        <w:t>mix mortar or adhesive to job specifica</w:t>
      </w:r>
      <w:r w:rsidRPr="00317505">
        <w:t>tions and maintain sufficient quantities on mortar boards</w:t>
      </w:r>
    </w:p>
    <w:p w:rsidR="00000000" w:rsidRPr="00317505" w:rsidP="00317505">
      <w:pPr>
        <w:pStyle w:val="ListBullet"/>
      </w:pPr>
      <w:r w:rsidRPr="00317505">
        <w:t>maintain a clean and safe workplace.</w:t>
      </w:r>
    </w:p>
    <w:p w:rsidR="00000000" w:rsidRPr="00317505" w:rsidP="00317505">
      <w:pPr>
        <w:pStyle w:val="AllowPageBreak"/>
      </w:pPr>
    </w:p>
    <w:p w:rsidR="00000000" w:rsidRPr="00317505" w:rsidP="00317505">
      <w:pPr>
        <w:pStyle w:val="Heading1"/>
      </w:pPr>
      <w:bookmarkStart w:id="11" w:name="O_1291990"/>
      <w:bookmarkEnd w:id="11"/>
      <w:r w:rsidRPr="00317505">
        <w:t>Knowledge Evidence</w:t>
      </w:r>
    </w:p>
    <w:p w:rsidR="00000000" w:rsidRPr="00317505" w:rsidP="00156EDD">
      <w:pPr>
        <w:pStyle w:val="BodyText"/>
      </w:pPr>
      <w:r w:rsidRPr="00317505">
        <w:t>To be competent in this unit, a person must demonstrate knowledge of:</w:t>
      </w:r>
    </w:p>
    <w:p w:rsidR="00000000" w:rsidRPr="00317505" w:rsidP="00317505">
      <w:pPr>
        <w:pStyle w:val="ListBullet"/>
      </w:pPr>
      <w:r w:rsidRPr="00317505">
        <w:t>cha</w:t>
      </w:r>
      <w:r w:rsidRPr="00317505">
        <w:t>racteristics, applications and limitations of specified materials for stonemasonry construction</w:t>
      </w:r>
    </w:p>
    <w:p w:rsidR="00000000" w:rsidRPr="00317505" w:rsidP="00317505">
      <w:pPr>
        <w:pStyle w:val="ListBullet"/>
      </w:pPr>
      <w:r w:rsidRPr="00317505">
        <w:t>igneous, metamorphic and sedimentary rocks and the appropriate tools to work on these type of rocks</w:t>
      </w:r>
    </w:p>
    <w:p w:rsidR="00000000" w:rsidRPr="00317505" w:rsidP="00317505">
      <w:pPr>
        <w:pStyle w:val="ListBullet"/>
      </w:pPr>
      <w:r w:rsidRPr="00317505">
        <w:t>construction terminology relating to stonemasonry constructi</w:t>
      </w:r>
      <w:r w:rsidRPr="00317505">
        <w:t>on</w:t>
      </w:r>
    </w:p>
    <w:p w:rsidR="00000000" w:rsidRPr="00317505" w:rsidP="00317505">
      <w:pPr>
        <w:pStyle w:val="ListBullet"/>
      </w:pPr>
      <w:r w:rsidRPr="00317505">
        <w:t>mortar and adhesive ingredients and consistency</w:t>
      </w:r>
    </w:p>
    <w:p w:rsidR="00000000" w:rsidRPr="00317505" w:rsidP="00317505">
      <w:pPr>
        <w:pStyle w:val="ListBullet"/>
      </w:pPr>
      <w:r w:rsidRPr="00317505">
        <w:t>functional and operational features of equipment and hand and power tools:</w:t>
      </w:r>
    </w:p>
    <w:p w:rsidR="00000000" w:rsidRPr="00317505" w:rsidP="00317505">
      <w:pPr>
        <w:pStyle w:val="ListBullet2"/>
      </w:pPr>
      <w:r w:rsidRPr="00317505">
        <w:t>angle grinders</w:t>
      </w:r>
    </w:p>
    <w:p w:rsidR="00000000" w:rsidRPr="00317505" w:rsidP="00317505">
      <w:pPr>
        <w:pStyle w:val="ListBullet2"/>
      </w:pPr>
      <w:r w:rsidRPr="00317505">
        <w:t>masonry saws</w:t>
      </w:r>
    </w:p>
    <w:p w:rsidR="00000000" w:rsidRPr="00317505" w:rsidP="00317505">
      <w:pPr>
        <w:pStyle w:val="ListBullet2"/>
      </w:pPr>
      <w:r w:rsidRPr="00317505">
        <w:t>hand tools</w:t>
      </w:r>
    </w:p>
    <w:p w:rsidR="00000000" w:rsidRPr="00317505" w:rsidP="00317505">
      <w:pPr>
        <w:pStyle w:val="ListBullet2"/>
      </w:pPr>
      <w:r w:rsidRPr="00317505">
        <w:t>wheelbarrows</w:t>
      </w:r>
    </w:p>
    <w:p w:rsidR="00000000" w:rsidRPr="00317505" w:rsidP="00317505">
      <w:pPr>
        <w:pStyle w:val="ListBullet"/>
      </w:pPr>
      <w:r w:rsidRPr="00317505">
        <w:t xml:space="preserve">types and safe use of stone lifting equipment  </w:t>
      </w:r>
    </w:p>
    <w:p w:rsidR="00000000" w:rsidRPr="00317505" w:rsidP="00317505">
      <w:pPr>
        <w:pStyle w:val="ListBullet"/>
      </w:pPr>
      <w:r w:rsidRPr="00317505">
        <w:t>workplace practices relating to stonemasonry</w:t>
      </w:r>
    </w:p>
    <w:p w:rsidR="00000000" w:rsidRPr="00317505" w:rsidP="00317505">
      <w:pPr>
        <w:pStyle w:val="ListBullet"/>
      </w:pPr>
      <w:r w:rsidRPr="00317505">
        <w:t>workplace safety:</w:t>
      </w:r>
    </w:p>
    <w:p w:rsidR="00000000" w:rsidRPr="00317505" w:rsidP="00317505">
      <w:pPr>
        <w:pStyle w:val="ListBullet2"/>
      </w:pPr>
      <w:r w:rsidRPr="00317505">
        <w:t>job safety and environmental analysis (JSEA)</w:t>
      </w:r>
    </w:p>
    <w:p w:rsidR="00000000" w:rsidRPr="00317505" w:rsidP="00317505">
      <w:pPr>
        <w:pStyle w:val="ListBullet2"/>
      </w:pPr>
      <w:r w:rsidRPr="00317505">
        <w:t>exposure to silica dust</w:t>
      </w:r>
    </w:p>
    <w:p w:rsidR="00000000" w:rsidRPr="00317505" w:rsidP="00317505">
      <w:pPr>
        <w:pStyle w:val="ListBullet2"/>
      </w:pPr>
      <w:r w:rsidRPr="00317505">
        <w:t xml:space="preserve">exposure to loud noise </w:t>
      </w:r>
    </w:p>
    <w:p w:rsidR="00000000" w:rsidRPr="00317505" w:rsidP="00317505">
      <w:pPr>
        <w:pStyle w:val="ListBullet2"/>
      </w:pPr>
      <w:r w:rsidRPr="00317505">
        <w:t>hazardous manual tasks</w:t>
      </w:r>
    </w:p>
    <w:p w:rsidR="00000000" w:rsidRPr="00317505" w:rsidP="00317505">
      <w:pPr>
        <w:pStyle w:val="ListBullet"/>
      </w:pPr>
      <w:r w:rsidRPr="00317505">
        <w:t xml:space="preserve">processes and techniques for: </w:t>
      </w:r>
    </w:p>
    <w:p w:rsidR="00000000" w:rsidRPr="00317505" w:rsidP="00317505">
      <w:pPr>
        <w:pStyle w:val="ListBullet2"/>
      </w:pPr>
      <w:r w:rsidRPr="00317505">
        <w:t xml:space="preserve">material protection and storage </w:t>
      </w:r>
    </w:p>
    <w:p w:rsidR="00000000" w:rsidRPr="00317505" w:rsidP="00317505">
      <w:pPr>
        <w:pStyle w:val="ListBullet2"/>
      </w:pPr>
      <w:r w:rsidRPr="00317505">
        <w:t>stonemason</w:t>
      </w:r>
      <w:r w:rsidRPr="00317505">
        <w:t>ry construction work</w:t>
      </w:r>
    </w:p>
    <w:p w:rsidR="00000000" w:rsidRPr="00317505" w:rsidP="00317505">
      <w:pPr>
        <w:pStyle w:val="ListBullet2"/>
      </w:pPr>
      <w:r w:rsidRPr="00317505">
        <w:t>locating and loading mortar boards</w:t>
      </w:r>
    </w:p>
    <w:p w:rsidR="00000000" w:rsidRPr="00317505" w:rsidP="00317505">
      <w:pPr>
        <w:pStyle w:val="ListBullet2"/>
      </w:pPr>
      <w:r w:rsidRPr="00317505">
        <w:t xml:space="preserve">work area preparation </w:t>
      </w:r>
    </w:p>
    <w:p w:rsidR="00000000" w:rsidRPr="00317505" w:rsidP="00317505">
      <w:pPr>
        <w:pStyle w:val="ListBullet2"/>
      </w:pPr>
      <w:r w:rsidRPr="00317505">
        <w:t>laying stone</w:t>
      </w:r>
    </w:p>
    <w:p w:rsidR="00000000" w:rsidRPr="00317505" w:rsidP="00317505">
      <w:pPr>
        <w:pStyle w:val="ListBullet"/>
      </w:pPr>
      <w:r w:rsidRPr="00317505">
        <w:t>environmental requirements for workplace processes and waste disposal.</w:t>
      </w:r>
    </w:p>
    <w:p w:rsidR="00000000" w:rsidRPr="00317505" w:rsidP="00317505">
      <w:pPr>
        <w:pStyle w:val="ListBullet"/>
      </w:pPr>
      <w:r w:rsidRPr="00317505">
        <w:t>key features of plans and specifications</w:t>
      </w:r>
    </w:p>
    <w:p w:rsidR="00000000" w:rsidRPr="00317505" w:rsidP="00317505">
      <w:pPr>
        <w:pStyle w:val="ListBullet"/>
      </w:pPr>
      <w:r w:rsidRPr="00317505">
        <w:t>stonemasonry regulations, standards and codes.</w:t>
      </w:r>
    </w:p>
    <w:p w:rsidR="00000000" w:rsidRPr="00317505" w:rsidP="00317505">
      <w:pPr>
        <w:pStyle w:val="AllowPageBreak"/>
      </w:pPr>
    </w:p>
    <w:p w:rsidR="00000000" w:rsidRPr="00317505" w:rsidP="00317505">
      <w:pPr>
        <w:pStyle w:val="Heading1"/>
      </w:pPr>
      <w:bookmarkStart w:id="12" w:name="O_1291989"/>
      <w:bookmarkEnd w:id="12"/>
      <w:r w:rsidRPr="00317505">
        <w:t>Assessment Conditions</w:t>
      </w:r>
    </w:p>
    <w:p w:rsidR="00000000" w:rsidRPr="00317505" w:rsidP="00156EDD">
      <w:pPr>
        <w:pStyle w:val="BodyText"/>
      </w:pPr>
      <w:r w:rsidRPr="00317505">
        <w:t xml:space="preserve">Assessors must meet the requirements for assessors contained in the Standards for Registered Training Organisations. </w:t>
      </w:r>
    </w:p>
    <w:p w:rsidR="00000000" w:rsidRPr="00317505" w:rsidP="00156EDD">
      <w:pPr>
        <w:pStyle w:val="BodyText"/>
      </w:pPr>
      <w:r w:rsidRPr="00317505">
        <w:t xml:space="preserve">This unit must be assessed in the workplace or a close simulation reflecting workplace conditions </w:t>
      </w:r>
      <w:r w:rsidRPr="00317505">
        <w:t>and standards, materials, equipment, activities, responsibilities, procedures, safety requirements and environmental considerations.</w:t>
      </w:r>
    </w:p>
    <w:p w:rsidR="00000000" w:rsidRPr="00317505" w:rsidP="00317505">
      <w:pPr>
        <w:pStyle w:val="Heading1"/>
      </w:pPr>
      <w:bookmarkStart w:id="13" w:name="O_1292002"/>
      <w:bookmarkEnd w:id="13"/>
      <w:r w:rsidRPr="00317505">
        <w:t>Links</w:t>
      </w:r>
    </w:p>
    <w:p w:rsidR="00000000" w:rsidRPr="00317505" w:rsidP="00156EDD">
      <w:pPr>
        <w:pStyle w:val="BodyText"/>
      </w:pPr>
      <w:r w:rsidRPr="003175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5D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17505" w:rsidP="00317505"/>
    <w:sectPr w:rsidSect="003175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 w:rsidRPr="00156EDD" w:rsidP="00156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DD" w:rsidP="00317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EDD" w:rsidP="00317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6EDD" w:rsidP="003175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 w:rsidP="00317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6EDD">
      <w:t>Approved</w:t>
    </w:r>
    <w:r w:rsidR="00156E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6E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6EDD">
      <w:rPr>
        <w:noProof/>
      </w:rPr>
      <w:t>4</w:t>
    </w:r>
    <w:r>
      <w:rPr>
        <w:noProof/>
      </w:rPr>
      <w:fldChar w:fldCharType="end"/>
    </w:r>
  </w:p>
  <w:p w:rsidR="00317505" w:rsidP="00317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6E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6EDD">
      <w:t>BuildSkills Australia</w:t>
    </w:r>
    <w:r w:rsidR="00156EDD">
      <w:fldChar w:fldCharType="end"/>
    </w:r>
  </w:p>
  <w:p w:rsidR="00317505" w:rsidP="00317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505" w:rsidRPr="00156EDD" w:rsidP="00156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DD" w:rsidRPr="002D2AF8" w:rsidP="00317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CPCCST2001 Prepare for stonemasonry construction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6EDD" w:rsidP="003175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5" w:rsidRPr="002D2AF8" w:rsidP="00317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6EDD">
      <w:t>CPCCST2001 Prepare for stonemasonry construction process</w:t>
    </w:r>
    <w:r w:rsidR="00156E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6EDD">
      <w:rPr>
        <w:noProof/>
      </w:rPr>
      <w:t>2 March 2025</w:t>
    </w:r>
    <w:r>
      <w:fldChar w:fldCharType="end"/>
    </w:r>
  </w:p>
  <w:p w:rsidR="00317505" w:rsidP="00317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6E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224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CE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505"/>
  </w:style>
  <w:style w:type="character" w:customStyle="1" w:styleId="Heading1Char">
    <w:name w:val="Heading 1 Char"/>
    <w:basedOn w:val="DefaultParagraphFont"/>
    <w:link w:val="Heading1"/>
    <w:rsid w:val="00317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5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5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7505"/>
    <w:rPr>
      <w:i/>
    </w:rPr>
  </w:style>
  <w:style w:type="paragraph" w:customStyle="1" w:styleId="SuperHeading">
    <w:name w:val="SuperHeading"/>
    <w:basedOn w:val="Normal"/>
    <w:rsid w:val="00317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505"/>
    <w:rPr>
      <w:b/>
      <w:spacing w:val="0"/>
    </w:rPr>
  </w:style>
  <w:style w:type="paragraph" w:customStyle="1" w:styleId="SuperTitle">
    <w:name w:val="SuperTitle"/>
    <w:basedOn w:val="Title"/>
    <w:rsid w:val="00317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5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505"/>
  </w:style>
  <w:style w:type="paragraph" w:styleId="TableofFigures">
    <w:name w:val="table of figures"/>
    <w:basedOn w:val="Normal"/>
    <w:next w:val="Normal"/>
    <w:semiHidden/>
    <w:rsid w:val="00317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5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505"/>
    <w:rPr>
      <w:rFonts w:ascii="Wingdings" w:hAnsi="Wingdings"/>
    </w:rPr>
  </w:style>
  <w:style w:type="paragraph" w:customStyle="1" w:styleId="TableHeading">
    <w:name w:val="Table Heading"/>
    <w:basedOn w:val="HeadingBase"/>
    <w:rsid w:val="00317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505"/>
    <w:rPr>
      <w:color w:val="0033CC"/>
      <w:u w:val="none"/>
    </w:rPr>
  </w:style>
  <w:style w:type="paragraph" w:customStyle="1" w:styleId="BodyTextRight">
    <w:name w:val="Body Text Right"/>
    <w:basedOn w:val="BodyText"/>
    <w:rsid w:val="00317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5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505"/>
    <w:rPr>
      <w:sz w:val="32"/>
    </w:rPr>
  </w:style>
  <w:style w:type="paragraph" w:customStyle="1" w:styleId="HeadingProcedure">
    <w:name w:val="Heading Procedure"/>
    <w:basedOn w:val="HeadingBase"/>
    <w:next w:val="Normal"/>
    <w:rsid w:val="00317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505"/>
    <w:pPr>
      <w:spacing w:before="60" w:after="60"/>
    </w:pPr>
  </w:style>
  <w:style w:type="paragraph" w:styleId="ListContinue">
    <w:name w:val="List Continue"/>
    <w:basedOn w:val="List"/>
    <w:rsid w:val="00317505"/>
    <w:pPr>
      <w:ind w:firstLine="0"/>
    </w:pPr>
  </w:style>
  <w:style w:type="paragraph" w:customStyle="1" w:styleId="ListNote">
    <w:name w:val="List Note"/>
    <w:basedOn w:val="List"/>
    <w:rsid w:val="00317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505"/>
    <w:rPr>
      <w:rFonts w:ascii="Courier New" w:hAnsi="Courier New"/>
    </w:rPr>
  </w:style>
  <w:style w:type="paragraph" w:customStyle="1" w:styleId="NoteBullet">
    <w:name w:val="Note Bullet"/>
    <w:basedOn w:val="Note"/>
    <w:rsid w:val="00317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5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505"/>
    <w:rPr>
      <w:b/>
      <w:smallCaps/>
    </w:rPr>
  </w:style>
  <w:style w:type="paragraph" w:customStyle="1" w:styleId="TableListNumber">
    <w:name w:val="Table List Number"/>
    <w:basedOn w:val="ListNumber"/>
    <w:rsid w:val="00317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505"/>
    <w:pPr>
      <w:numPr>
        <w:numId w:val="9"/>
      </w:numPr>
    </w:pPr>
  </w:style>
  <w:style w:type="paragraph" w:customStyle="1" w:styleId="ListAlpha2">
    <w:name w:val="List Alpha 2"/>
    <w:basedOn w:val="List2"/>
    <w:rsid w:val="00317505"/>
    <w:pPr>
      <w:numPr>
        <w:numId w:val="8"/>
      </w:numPr>
    </w:pPr>
  </w:style>
  <w:style w:type="paragraph" w:styleId="List2">
    <w:name w:val="List 2"/>
    <w:basedOn w:val="BodyText"/>
    <w:rsid w:val="00317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5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5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505"/>
    <w:pPr>
      <w:numPr>
        <w:numId w:val="4"/>
      </w:numPr>
    </w:pPr>
  </w:style>
  <w:style w:type="paragraph" w:styleId="ListContinue2">
    <w:name w:val="List Continue 2"/>
    <w:basedOn w:val="List2"/>
    <w:rsid w:val="00317505"/>
    <w:pPr>
      <w:ind w:firstLine="0"/>
    </w:pPr>
  </w:style>
  <w:style w:type="paragraph" w:styleId="ListContinue3">
    <w:name w:val="List Continue 3"/>
    <w:basedOn w:val="List3"/>
    <w:rsid w:val="00317505"/>
    <w:pPr>
      <w:ind w:left="1021" w:firstLine="0"/>
    </w:pPr>
  </w:style>
  <w:style w:type="paragraph" w:styleId="ListContinue4">
    <w:name w:val="List Continue 4"/>
    <w:basedOn w:val="List4"/>
    <w:rsid w:val="00317505"/>
    <w:pPr>
      <w:ind w:firstLine="0"/>
    </w:pPr>
  </w:style>
  <w:style w:type="paragraph" w:styleId="ListContinue5">
    <w:name w:val="List Continue 5"/>
    <w:basedOn w:val="List5"/>
    <w:rsid w:val="00317505"/>
    <w:pPr>
      <w:ind w:firstLine="0"/>
    </w:pPr>
  </w:style>
  <w:style w:type="paragraph" w:styleId="ListNumber3">
    <w:name w:val="List Number 3"/>
    <w:basedOn w:val="List3"/>
    <w:rsid w:val="00317505"/>
    <w:pPr>
      <w:numPr>
        <w:numId w:val="5"/>
      </w:numPr>
    </w:pPr>
  </w:style>
  <w:style w:type="paragraph" w:styleId="ListNumber4">
    <w:name w:val="List Number 4"/>
    <w:basedOn w:val="List4"/>
    <w:rsid w:val="00317505"/>
    <w:pPr>
      <w:numPr>
        <w:numId w:val="6"/>
      </w:numPr>
    </w:pPr>
  </w:style>
  <w:style w:type="paragraph" w:styleId="ListNumber5">
    <w:name w:val="List Number 5"/>
    <w:basedOn w:val="List5"/>
    <w:rsid w:val="00317505"/>
    <w:pPr>
      <w:numPr>
        <w:numId w:val="7"/>
      </w:numPr>
    </w:pPr>
  </w:style>
  <w:style w:type="paragraph" w:styleId="BlockText">
    <w:name w:val="Block Text"/>
    <w:basedOn w:val="Normal"/>
    <w:rsid w:val="00317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505"/>
    <w:rPr>
      <w:sz w:val="16"/>
      <w:vertAlign w:val="superscript"/>
    </w:rPr>
  </w:style>
  <w:style w:type="character" w:customStyle="1" w:styleId="Symbols">
    <w:name w:val="Symbols"/>
    <w:basedOn w:val="DefaultParagraphFont"/>
    <w:rsid w:val="00317505"/>
    <w:rPr>
      <w:rFonts w:ascii="Symbol" w:hAnsi="Symbol"/>
    </w:rPr>
  </w:style>
  <w:style w:type="character" w:customStyle="1" w:styleId="MenuOptions">
    <w:name w:val="Menu Options"/>
    <w:basedOn w:val="DefaultParagraphFont"/>
    <w:rsid w:val="00317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505"/>
    <w:rPr>
      <w:b/>
    </w:rPr>
  </w:style>
  <w:style w:type="character" w:customStyle="1" w:styleId="Underlined">
    <w:name w:val="Underlined"/>
    <w:basedOn w:val="DefaultParagraphFont"/>
    <w:rsid w:val="00317505"/>
    <w:rPr>
      <w:u w:val="single"/>
    </w:rPr>
  </w:style>
  <w:style w:type="paragraph" w:customStyle="1" w:styleId="TableBodyTextRight">
    <w:name w:val="Table Body Text Right"/>
    <w:basedOn w:val="TableBodyText"/>
    <w:rsid w:val="00317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505"/>
    <w:rPr>
      <w:sz w:val="18"/>
    </w:rPr>
  </w:style>
  <w:style w:type="paragraph" w:customStyle="1" w:styleId="BodySmallRight">
    <w:name w:val="Body Small Right"/>
    <w:basedOn w:val="BodyTextRight"/>
    <w:rsid w:val="00317505"/>
    <w:rPr>
      <w:sz w:val="18"/>
      <w:szCs w:val="18"/>
    </w:rPr>
  </w:style>
  <w:style w:type="paragraph" w:customStyle="1" w:styleId="MarginEdition">
    <w:name w:val="Margin Edition"/>
    <w:basedOn w:val="MarginNote"/>
    <w:rsid w:val="00317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505"/>
    <w:rPr>
      <w:sz w:val="2"/>
      <w:szCs w:val="2"/>
    </w:rPr>
  </w:style>
  <w:style w:type="character" w:customStyle="1" w:styleId="Small">
    <w:name w:val="Small"/>
    <w:basedOn w:val="DefaultParagraphFont"/>
    <w:rsid w:val="00317505"/>
    <w:rPr>
      <w:sz w:val="16"/>
    </w:rPr>
  </w:style>
  <w:style w:type="paragraph" w:customStyle="1" w:styleId="WideTable">
    <w:name w:val="Wide Table"/>
    <w:basedOn w:val="Normal"/>
    <w:rsid w:val="00317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505"/>
  </w:style>
  <w:style w:type="paragraph" w:styleId="Quote">
    <w:name w:val="Quote"/>
    <w:basedOn w:val="Heading1"/>
    <w:link w:val="QuoteChar"/>
    <w:qFormat/>
    <w:rsid w:val="00317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505"/>
    <w:pPr>
      <w:pageBreakBefore/>
    </w:pPr>
  </w:style>
  <w:style w:type="paragraph" w:customStyle="1" w:styleId="Border">
    <w:name w:val="Border"/>
    <w:basedOn w:val="Normal"/>
    <w:qFormat/>
    <w:rsid w:val="00317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505"/>
    <w:rPr>
      <w:u w:val="single"/>
    </w:rPr>
  </w:style>
  <w:style w:type="character" w:customStyle="1" w:styleId="BoldandItalics">
    <w:name w:val="Bold and Italics"/>
    <w:qFormat/>
    <w:rsid w:val="00317505"/>
    <w:rPr>
      <w:b/>
      <w:i/>
      <w:u w:val="none"/>
    </w:rPr>
  </w:style>
  <w:style w:type="paragraph" w:styleId="BalloonText">
    <w:name w:val="Balloon Text"/>
    <w:basedOn w:val="Normal"/>
    <w:link w:val="BalloonTextChar"/>
    <w:rsid w:val="00317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505"/>
    <w:pPr>
      <w:spacing w:before="0" w:after="0"/>
    </w:pPr>
  </w:style>
  <w:style w:type="paragraph" w:customStyle="1" w:styleId="BodyTextBold">
    <w:name w:val="Body Text Bold"/>
    <w:basedOn w:val="BodyText"/>
    <w:qFormat/>
    <w:rsid w:val="00317505"/>
    <w:rPr>
      <w:b/>
    </w:rPr>
  </w:style>
  <w:style w:type="character" w:styleId="Hyperlink">
    <w:name w:val="Hyperlink"/>
    <w:basedOn w:val="DefaultParagraphFont"/>
    <w:uiPriority w:val="99"/>
    <w:unhideWhenUsed/>
    <w:rsid w:val="00156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5711</Characters>
  <Application>Microsoft Office Word</Application>
  <DocSecurity>0</DocSecurity>
  <Lines>237</Lines>
  <Paragraphs>140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CPCCST2001 Prepare for stonemasonry construction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