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67" w:rsidP="00A97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CPCCST2001 Prepare for stonemasonry construction process</w:t>
      </w:r>
      <w:r>
        <w:fldChar w:fldCharType="end"/>
      </w:r>
    </w:p>
    <w:p w:rsidR="00A97467" w:rsidP="00A97467">
      <w:pPr>
        <w:pStyle w:val="Version"/>
        <w:sectPr w:rsidSect="00370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0125" w:rsidP="00370125">
      <w:pPr>
        <w:pStyle w:val="SuperHeading"/>
      </w:pPr>
      <w:r w:rsidRPr="00370125">
        <w:t>Assessment Requirements for CPCCST2001 Prepare for stonemasonry construction process</w:t>
      </w:r>
    </w:p>
    <w:p w:rsidR="00000000" w:rsidRPr="00370125" w:rsidP="00370125">
      <w:pPr>
        <w:pStyle w:val="Heading1"/>
      </w:pPr>
      <w:bookmarkStart w:id="1" w:name="O_1291992"/>
      <w:bookmarkEnd w:id="1"/>
      <w:r w:rsidRPr="00370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7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125">
            <w:pPr>
              <w:pStyle w:val="BodyText"/>
              <w:rPr>
                <w:lang w:val="en-NZ"/>
              </w:rPr>
            </w:pPr>
            <w:r w:rsidRPr="0037012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125">
            <w:pPr>
              <w:pStyle w:val="BodyText"/>
              <w:rPr>
                <w:lang w:val="en-NZ"/>
              </w:rPr>
            </w:pPr>
            <w:r w:rsidRPr="00370125">
              <w:t>Updated reference to general construction induction training program.</w:t>
            </w:r>
          </w:p>
        </w:tc>
      </w:tr>
      <w:tr w:rsidTr="0037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125">
            <w:pPr>
              <w:pStyle w:val="BodyText"/>
              <w:rPr>
                <w:lang w:val="en-NZ"/>
              </w:rPr>
            </w:pPr>
            <w:r w:rsidRPr="003701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125" w:rsidP="00370125">
            <w:pPr>
              <w:pStyle w:val="BodyText"/>
            </w:pPr>
            <w:r w:rsidRPr="00370125">
              <w:t>This version first released with CPC Construction, Plumbing and Services Training Package Release 5.0.</w:t>
            </w:r>
          </w:p>
          <w:p w:rsidR="00000000" w:rsidRPr="00370125" w:rsidP="00370125">
            <w:pPr>
              <w:pStyle w:val="BodyText"/>
            </w:pPr>
            <w:r w:rsidRPr="00370125">
              <w:t>Supersedes and is equivalent to CPCCST2001A Prepare for the stonemasonry construction process.  Updated to meet the Standards for Training Packages 2012.</w:t>
            </w:r>
          </w:p>
        </w:tc>
      </w:tr>
    </w:tbl>
    <w:p w:rsidR="00000000" w:rsidRPr="00370125" w:rsidP="00370125">
      <w:pPr>
        <w:pStyle w:val="BodyText"/>
      </w:pPr>
    </w:p>
    <w:p w:rsidR="00000000" w:rsidRPr="00370125" w:rsidP="00370125">
      <w:pPr>
        <w:pStyle w:val="AllowPageBreak"/>
      </w:pPr>
    </w:p>
    <w:p w:rsidR="00000000" w:rsidRPr="00370125" w:rsidP="00370125">
      <w:pPr>
        <w:pStyle w:val="Heading1"/>
      </w:pPr>
      <w:bookmarkStart w:id="2" w:name="O_1291991"/>
      <w:bookmarkEnd w:id="2"/>
      <w:r w:rsidRPr="00370125">
        <w:t>Performance Evidence</w:t>
      </w:r>
    </w:p>
    <w:p w:rsidR="00000000" w:rsidRPr="00370125" w:rsidP="00A97467">
      <w:pPr>
        <w:pStyle w:val="BodyText"/>
      </w:pPr>
      <w:r w:rsidRPr="00370125">
        <w:t>To demonstrate competency in this unit, a candidate must meet the performance criteria of this unit by assisting with two stone masonry laying project on two different sites.</w:t>
      </w:r>
    </w:p>
    <w:p w:rsidR="00000000" w:rsidRPr="00370125" w:rsidP="00A97467">
      <w:pPr>
        <w:pStyle w:val="BodyText"/>
      </w:pPr>
      <w:r w:rsidRPr="00370125">
        <w:t>In doing this, the candidate must:</w:t>
      </w:r>
    </w:p>
    <w:p w:rsidR="00000000" w:rsidRPr="00370125" w:rsidP="00370125">
      <w:pPr>
        <w:pStyle w:val="ListBullet"/>
      </w:pPr>
      <w:r w:rsidRPr="00370125">
        <w:t>cl</w:t>
      </w:r>
      <w:r w:rsidRPr="00370125">
        <w:t xml:space="preserve">ear the work area, position masonry materials ready for laying </w:t>
      </w:r>
    </w:p>
    <w:p w:rsidR="00000000" w:rsidRPr="00370125" w:rsidP="00370125">
      <w:pPr>
        <w:pStyle w:val="ListBullet"/>
      </w:pPr>
      <w:r w:rsidRPr="00370125">
        <w:t>mix mortar or adhesive to job specifications and maintain sufficient quantities on mortar boards</w:t>
      </w:r>
    </w:p>
    <w:p w:rsidR="00000000" w:rsidRPr="00370125" w:rsidP="00370125">
      <w:pPr>
        <w:pStyle w:val="ListBullet"/>
      </w:pPr>
      <w:r w:rsidRPr="00370125">
        <w:t>maintain a clean and safe workplace.</w:t>
      </w:r>
    </w:p>
    <w:p w:rsidR="00000000" w:rsidRPr="00370125" w:rsidP="00370125">
      <w:pPr>
        <w:pStyle w:val="AllowPageBreak"/>
      </w:pPr>
    </w:p>
    <w:p w:rsidR="00000000" w:rsidRPr="00370125" w:rsidP="00370125">
      <w:pPr>
        <w:pStyle w:val="Heading1"/>
      </w:pPr>
      <w:bookmarkStart w:id="3" w:name="O_1291990"/>
      <w:bookmarkEnd w:id="3"/>
      <w:r w:rsidRPr="00370125">
        <w:t>Knowledge Evidence</w:t>
      </w:r>
    </w:p>
    <w:p w:rsidR="00000000" w:rsidRPr="00370125" w:rsidP="00A97467">
      <w:pPr>
        <w:pStyle w:val="BodyText"/>
      </w:pPr>
      <w:r w:rsidRPr="00370125">
        <w:t>To be competent in this unit, a person must demonstrate knowledge of:</w:t>
      </w:r>
    </w:p>
    <w:p w:rsidR="00000000" w:rsidRPr="00370125" w:rsidP="00370125">
      <w:pPr>
        <w:pStyle w:val="ListBullet"/>
      </w:pPr>
      <w:r w:rsidRPr="00370125">
        <w:t>characteristics, applications and limitations of specified materials for stonemasonry construction</w:t>
      </w:r>
    </w:p>
    <w:p w:rsidR="00000000" w:rsidRPr="00370125" w:rsidP="00370125">
      <w:pPr>
        <w:pStyle w:val="ListBullet"/>
      </w:pPr>
      <w:r w:rsidRPr="00370125">
        <w:t xml:space="preserve">igneous, metamorphic and sedimentary rocks and the appropriate tools to work on these </w:t>
      </w:r>
      <w:r w:rsidRPr="00370125">
        <w:t>type of rocks</w:t>
      </w:r>
    </w:p>
    <w:p w:rsidR="00000000" w:rsidRPr="00370125" w:rsidP="00370125">
      <w:pPr>
        <w:pStyle w:val="ListBullet"/>
      </w:pPr>
      <w:r w:rsidRPr="00370125">
        <w:t>construction terminology relating to stonemasonry construction</w:t>
      </w:r>
    </w:p>
    <w:p w:rsidR="00000000" w:rsidRPr="00370125" w:rsidP="00370125">
      <w:pPr>
        <w:pStyle w:val="ListBullet"/>
      </w:pPr>
      <w:r w:rsidRPr="00370125">
        <w:t>mortar and adhesive ingredients and consistency</w:t>
      </w:r>
    </w:p>
    <w:p w:rsidR="00000000" w:rsidRPr="00370125" w:rsidP="00370125">
      <w:pPr>
        <w:pStyle w:val="ListBullet"/>
      </w:pPr>
      <w:r w:rsidRPr="00370125">
        <w:t>functional and operational features of equipment and hand and power tools:</w:t>
      </w:r>
    </w:p>
    <w:p w:rsidR="00000000" w:rsidRPr="00370125" w:rsidP="00370125">
      <w:pPr>
        <w:pStyle w:val="ListBullet2"/>
      </w:pPr>
      <w:r w:rsidRPr="00370125">
        <w:t>angle grinders</w:t>
      </w:r>
    </w:p>
    <w:p w:rsidR="00000000" w:rsidRPr="00370125" w:rsidP="00370125">
      <w:pPr>
        <w:pStyle w:val="ListBullet2"/>
      </w:pPr>
      <w:r w:rsidRPr="00370125">
        <w:t>masonry saws</w:t>
      </w:r>
    </w:p>
    <w:p w:rsidR="00000000" w:rsidRPr="00370125" w:rsidP="00370125">
      <w:pPr>
        <w:pStyle w:val="ListBullet2"/>
      </w:pPr>
      <w:r w:rsidRPr="00370125">
        <w:t>hand tools</w:t>
      </w:r>
    </w:p>
    <w:p w:rsidR="00000000" w:rsidRPr="00370125" w:rsidP="00370125">
      <w:pPr>
        <w:pStyle w:val="ListBullet2"/>
      </w:pPr>
      <w:r w:rsidRPr="00370125">
        <w:t>wheelbarrows</w:t>
      </w:r>
    </w:p>
    <w:p w:rsidR="00000000" w:rsidRPr="00370125" w:rsidP="00370125">
      <w:pPr>
        <w:pStyle w:val="ListBullet"/>
      </w:pPr>
      <w:r w:rsidRPr="00370125">
        <w:t xml:space="preserve">types and safe use of stone lifting equipment  </w:t>
      </w:r>
    </w:p>
    <w:p w:rsidR="00000000" w:rsidRPr="00370125" w:rsidP="00370125">
      <w:pPr>
        <w:pStyle w:val="ListBullet"/>
      </w:pPr>
      <w:r w:rsidRPr="00370125">
        <w:t>workplace practices relating to stonemasonry</w:t>
      </w:r>
    </w:p>
    <w:p w:rsidR="00000000" w:rsidRPr="00370125" w:rsidP="00370125">
      <w:pPr>
        <w:pStyle w:val="ListBullet"/>
      </w:pPr>
      <w:r w:rsidRPr="00370125">
        <w:t>workplace safety:</w:t>
      </w:r>
    </w:p>
    <w:p w:rsidR="00000000" w:rsidRPr="00370125" w:rsidP="00370125">
      <w:pPr>
        <w:pStyle w:val="ListBullet2"/>
      </w:pPr>
      <w:r w:rsidRPr="00370125">
        <w:t>job safety and environmental analysis (JSEA)</w:t>
      </w:r>
    </w:p>
    <w:p w:rsidR="00000000" w:rsidRPr="00370125" w:rsidP="00370125">
      <w:pPr>
        <w:pStyle w:val="ListBullet2"/>
      </w:pPr>
      <w:r w:rsidRPr="00370125">
        <w:t>exposure to silica dust</w:t>
      </w:r>
    </w:p>
    <w:p w:rsidR="00000000" w:rsidRPr="00370125" w:rsidP="00370125">
      <w:pPr>
        <w:pStyle w:val="ListBullet2"/>
      </w:pPr>
      <w:r w:rsidRPr="00370125">
        <w:t xml:space="preserve">exposure to loud noise </w:t>
      </w:r>
    </w:p>
    <w:p w:rsidR="00000000" w:rsidRPr="00370125" w:rsidP="00370125">
      <w:pPr>
        <w:pStyle w:val="ListBullet2"/>
      </w:pPr>
      <w:r w:rsidRPr="00370125">
        <w:t>hazardous manual tasks</w:t>
      </w:r>
    </w:p>
    <w:p w:rsidR="00000000" w:rsidRPr="00370125" w:rsidP="00370125">
      <w:pPr>
        <w:pStyle w:val="ListBullet"/>
      </w:pPr>
      <w:r w:rsidRPr="00370125">
        <w:t>processes and techniques fo</w:t>
      </w:r>
      <w:r w:rsidRPr="00370125">
        <w:t xml:space="preserve">r: </w:t>
      </w:r>
    </w:p>
    <w:p w:rsidR="00000000" w:rsidRPr="00370125" w:rsidP="00370125">
      <w:pPr>
        <w:pStyle w:val="ListBullet2"/>
      </w:pPr>
      <w:r w:rsidRPr="00370125">
        <w:t xml:space="preserve">material protection and storage </w:t>
      </w:r>
    </w:p>
    <w:p w:rsidR="00000000" w:rsidRPr="00370125" w:rsidP="00370125">
      <w:pPr>
        <w:pStyle w:val="ListBullet2"/>
      </w:pPr>
      <w:r w:rsidRPr="00370125">
        <w:t>stonemasonry construction work</w:t>
      </w:r>
    </w:p>
    <w:p w:rsidR="00000000" w:rsidRPr="00370125" w:rsidP="00370125">
      <w:pPr>
        <w:pStyle w:val="ListBullet2"/>
      </w:pPr>
      <w:r w:rsidRPr="00370125">
        <w:t>locating and loading mortar boards</w:t>
      </w:r>
    </w:p>
    <w:p w:rsidR="00000000" w:rsidRPr="00370125" w:rsidP="00370125">
      <w:pPr>
        <w:pStyle w:val="ListBullet2"/>
      </w:pPr>
      <w:r w:rsidRPr="00370125">
        <w:t xml:space="preserve">work area preparation </w:t>
      </w:r>
    </w:p>
    <w:p w:rsidR="00000000" w:rsidRPr="00370125" w:rsidP="00370125">
      <w:pPr>
        <w:pStyle w:val="ListBullet2"/>
      </w:pPr>
      <w:r w:rsidRPr="00370125">
        <w:t>laying stone</w:t>
      </w:r>
    </w:p>
    <w:p w:rsidR="00000000" w:rsidRPr="00370125" w:rsidP="00370125">
      <w:pPr>
        <w:pStyle w:val="ListBullet"/>
      </w:pPr>
      <w:r w:rsidRPr="00370125">
        <w:t>environmental requirements for workplace processes and waste disposal.</w:t>
      </w:r>
    </w:p>
    <w:p w:rsidR="00000000" w:rsidRPr="00370125" w:rsidP="00370125">
      <w:pPr>
        <w:pStyle w:val="ListBullet"/>
      </w:pPr>
      <w:r w:rsidRPr="00370125">
        <w:t>key features of plans and specifications</w:t>
      </w:r>
    </w:p>
    <w:p w:rsidR="00000000" w:rsidRPr="00370125" w:rsidP="00370125">
      <w:pPr>
        <w:pStyle w:val="ListBullet"/>
      </w:pPr>
      <w:r w:rsidRPr="00370125">
        <w:t>stonemasonry regulations, standards and codes.</w:t>
      </w:r>
    </w:p>
    <w:p w:rsidR="00000000" w:rsidRPr="00370125" w:rsidP="00370125">
      <w:pPr>
        <w:pStyle w:val="AllowPageBreak"/>
      </w:pPr>
    </w:p>
    <w:p w:rsidR="00000000" w:rsidRPr="00370125" w:rsidP="00370125">
      <w:pPr>
        <w:pStyle w:val="Heading1"/>
      </w:pPr>
      <w:bookmarkStart w:id="4" w:name="O_1291989"/>
      <w:bookmarkEnd w:id="4"/>
      <w:r w:rsidRPr="00370125">
        <w:t>Assessment Conditions</w:t>
      </w:r>
    </w:p>
    <w:p w:rsidR="00000000" w:rsidRPr="00370125" w:rsidP="00A97467">
      <w:pPr>
        <w:pStyle w:val="BodyText"/>
      </w:pPr>
      <w:r w:rsidRPr="00370125">
        <w:t xml:space="preserve">Assessors must meet the requirements for assessors contained in the Standards for Registered Training Organisations. </w:t>
      </w:r>
    </w:p>
    <w:p w:rsidR="00000000" w:rsidRPr="00370125" w:rsidP="00A97467">
      <w:pPr>
        <w:pStyle w:val="BodyText"/>
      </w:pPr>
      <w:r w:rsidRPr="00370125">
        <w:t>This unit must be assessed in the workplace or a c</w:t>
      </w:r>
      <w:r w:rsidRPr="00370125">
        <w:t>lose simulation reflecting workplace conditions and standards, materials, equipment, activities, responsibilities, procedures, safety requirements and environmental considerations.</w:t>
      </w:r>
    </w:p>
    <w:p w:rsidR="00000000" w:rsidRPr="00370125" w:rsidP="00370125">
      <w:pPr>
        <w:pStyle w:val="Heading1"/>
      </w:pPr>
      <w:bookmarkStart w:id="5" w:name="O_1292002"/>
      <w:bookmarkEnd w:id="5"/>
      <w:r w:rsidRPr="00370125">
        <w:t>Links</w:t>
      </w:r>
    </w:p>
    <w:p w:rsidR="00000000" w:rsidRPr="00370125" w:rsidP="00A97467">
      <w:pPr>
        <w:pStyle w:val="BodyText"/>
      </w:pPr>
      <w:r w:rsidRPr="00370125">
        <w:t>Companion volumes to this training package are ava</w:t>
      </w:r>
      <w:r w:rsidRPr="00370125">
        <w:t xml:space="preserve">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83D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70125" w:rsidP="00370125"/>
    <w:sectPr w:rsidSect="003701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125" w:rsidRPr="00A97467" w:rsidP="00A97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67" w:rsidP="00370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467" w:rsidP="00370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7467" w:rsidP="00370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125" w:rsidRPr="00A97467" w:rsidP="00A97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67" w:rsidRPr="002D2AF8" w:rsidP="00370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CPCCST2001 Prepare for stonemasonry construction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7467" w:rsidP="00370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7A5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1E3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C1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125"/>
  </w:style>
  <w:style w:type="character" w:customStyle="1" w:styleId="Heading1Char">
    <w:name w:val="Heading 1 Char"/>
    <w:basedOn w:val="DefaultParagraphFont"/>
    <w:link w:val="Heading1"/>
    <w:rsid w:val="00370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1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1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125"/>
    <w:rPr>
      <w:b/>
      <w:spacing w:val="0"/>
    </w:rPr>
  </w:style>
  <w:style w:type="paragraph" w:customStyle="1" w:styleId="SuperTitle">
    <w:name w:val="SuperTitle"/>
    <w:basedOn w:val="Title"/>
    <w:rsid w:val="00370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1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125"/>
    <w:rPr>
      <w:i/>
    </w:rPr>
  </w:style>
  <w:style w:type="paragraph" w:styleId="Caption">
    <w:name w:val="caption"/>
    <w:basedOn w:val="BodyText"/>
    <w:next w:val="Normal"/>
    <w:qFormat/>
    <w:rsid w:val="00370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125"/>
  </w:style>
  <w:style w:type="paragraph" w:styleId="TableofFigures">
    <w:name w:val="table of figures"/>
    <w:basedOn w:val="Normal"/>
    <w:next w:val="Normal"/>
    <w:semiHidden/>
    <w:rsid w:val="00370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1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125"/>
    <w:rPr>
      <w:rFonts w:ascii="Wingdings" w:hAnsi="Wingdings"/>
    </w:rPr>
  </w:style>
  <w:style w:type="paragraph" w:customStyle="1" w:styleId="TableHeading">
    <w:name w:val="Table Heading"/>
    <w:basedOn w:val="HeadingBase"/>
    <w:rsid w:val="00370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125"/>
    <w:rPr>
      <w:color w:val="0033CC"/>
      <w:u w:val="none"/>
    </w:rPr>
  </w:style>
  <w:style w:type="paragraph" w:customStyle="1" w:styleId="BodyTextRight">
    <w:name w:val="Body Text Right"/>
    <w:basedOn w:val="BodyText"/>
    <w:rsid w:val="00370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1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125"/>
    <w:rPr>
      <w:sz w:val="32"/>
    </w:rPr>
  </w:style>
  <w:style w:type="paragraph" w:customStyle="1" w:styleId="HeadingProcedure">
    <w:name w:val="Heading Procedure"/>
    <w:basedOn w:val="HeadingBase"/>
    <w:next w:val="Normal"/>
    <w:rsid w:val="00370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125"/>
    <w:pPr>
      <w:spacing w:before="60" w:after="60"/>
    </w:pPr>
  </w:style>
  <w:style w:type="paragraph" w:styleId="ListContinue">
    <w:name w:val="List Continue"/>
    <w:basedOn w:val="List"/>
    <w:rsid w:val="00370125"/>
    <w:pPr>
      <w:ind w:firstLine="0"/>
    </w:pPr>
  </w:style>
  <w:style w:type="paragraph" w:customStyle="1" w:styleId="ListNote">
    <w:name w:val="List Note"/>
    <w:basedOn w:val="List"/>
    <w:rsid w:val="00370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125"/>
    <w:rPr>
      <w:rFonts w:ascii="Courier New" w:hAnsi="Courier New"/>
    </w:rPr>
  </w:style>
  <w:style w:type="paragraph" w:customStyle="1" w:styleId="NoteBullet">
    <w:name w:val="Note Bullet"/>
    <w:basedOn w:val="Note"/>
    <w:rsid w:val="00370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1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125"/>
    <w:rPr>
      <w:b/>
      <w:smallCaps/>
    </w:rPr>
  </w:style>
  <w:style w:type="paragraph" w:customStyle="1" w:styleId="TableListNumber">
    <w:name w:val="Table List Number"/>
    <w:basedOn w:val="ListNumber"/>
    <w:rsid w:val="00370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125"/>
    <w:pPr>
      <w:numPr>
        <w:numId w:val="9"/>
      </w:numPr>
    </w:pPr>
  </w:style>
  <w:style w:type="paragraph" w:customStyle="1" w:styleId="ListAlpha2">
    <w:name w:val="List Alpha 2"/>
    <w:basedOn w:val="List2"/>
    <w:rsid w:val="00370125"/>
    <w:pPr>
      <w:numPr>
        <w:numId w:val="8"/>
      </w:numPr>
    </w:pPr>
  </w:style>
  <w:style w:type="paragraph" w:styleId="List2">
    <w:name w:val="List 2"/>
    <w:basedOn w:val="BodyText"/>
    <w:rsid w:val="00370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1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1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125"/>
    <w:pPr>
      <w:numPr>
        <w:numId w:val="4"/>
      </w:numPr>
    </w:pPr>
  </w:style>
  <w:style w:type="paragraph" w:styleId="ListContinue2">
    <w:name w:val="List Continue 2"/>
    <w:basedOn w:val="List2"/>
    <w:rsid w:val="00370125"/>
    <w:pPr>
      <w:ind w:firstLine="0"/>
    </w:pPr>
  </w:style>
  <w:style w:type="paragraph" w:styleId="ListContinue3">
    <w:name w:val="List Continue 3"/>
    <w:basedOn w:val="List3"/>
    <w:rsid w:val="00370125"/>
    <w:pPr>
      <w:ind w:left="1021" w:firstLine="0"/>
    </w:pPr>
  </w:style>
  <w:style w:type="paragraph" w:styleId="ListContinue4">
    <w:name w:val="List Continue 4"/>
    <w:basedOn w:val="List4"/>
    <w:rsid w:val="00370125"/>
    <w:pPr>
      <w:ind w:firstLine="0"/>
    </w:pPr>
  </w:style>
  <w:style w:type="paragraph" w:styleId="ListContinue5">
    <w:name w:val="List Continue 5"/>
    <w:basedOn w:val="List5"/>
    <w:rsid w:val="00370125"/>
    <w:pPr>
      <w:ind w:firstLine="0"/>
    </w:pPr>
  </w:style>
  <w:style w:type="paragraph" w:styleId="ListNumber3">
    <w:name w:val="List Number 3"/>
    <w:basedOn w:val="List3"/>
    <w:rsid w:val="00370125"/>
    <w:pPr>
      <w:numPr>
        <w:numId w:val="5"/>
      </w:numPr>
    </w:pPr>
  </w:style>
  <w:style w:type="paragraph" w:styleId="ListNumber4">
    <w:name w:val="List Number 4"/>
    <w:basedOn w:val="List4"/>
    <w:rsid w:val="00370125"/>
    <w:pPr>
      <w:numPr>
        <w:numId w:val="6"/>
      </w:numPr>
    </w:pPr>
  </w:style>
  <w:style w:type="paragraph" w:styleId="ListNumber5">
    <w:name w:val="List Number 5"/>
    <w:basedOn w:val="List5"/>
    <w:rsid w:val="00370125"/>
    <w:pPr>
      <w:numPr>
        <w:numId w:val="7"/>
      </w:numPr>
    </w:pPr>
  </w:style>
  <w:style w:type="paragraph" w:styleId="BlockText">
    <w:name w:val="Block Text"/>
    <w:basedOn w:val="Normal"/>
    <w:rsid w:val="00370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125"/>
    <w:rPr>
      <w:sz w:val="16"/>
      <w:vertAlign w:val="superscript"/>
    </w:rPr>
  </w:style>
  <w:style w:type="character" w:customStyle="1" w:styleId="Symbols">
    <w:name w:val="Symbols"/>
    <w:basedOn w:val="DefaultParagraphFont"/>
    <w:rsid w:val="00370125"/>
    <w:rPr>
      <w:rFonts w:ascii="Symbol" w:hAnsi="Symbol"/>
    </w:rPr>
  </w:style>
  <w:style w:type="character" w:customStyle="1" w:styleId="MenuOptions">
    <w:name w:val="Menu Options"/>
    <w:basedOn w:val="DefaultParagraphFont"/>
    <w:rsid w:val="00370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125"/>
    <w:rPr>
      <w:b/>
    </w:rPr>
  </w:style>
  <w:style w:type="character" w:customStyle="1" w:styleId="Underlined">
    <w:name w:val="Underlined"/>
    <w:basedOn w:val="DefaultParagraphFont"/>
    <w:rsid w:val="00370125"/>
    <w:rPr>
      <w:u w:val="single"/>
    </w:rPr>
  </w:style>
  <w:style w:type="paragraph" w:customStyle="1" w:styleId="TableBodyTextRight">
    <w:name w:val="Table Body Text Right"/>
    <w:basedOn w:val="TableBodyText"/>
    <w:rsid w:val="00370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125"/>
    <w:rPr>
      <w:sz w:val="18"/>
    </w:rPr>
  </w:style>
  <w:style w:type="paragraph" w:customStyle="1" w:styleId="BodySmallRight">
    <w:name w:val="Body Small Right"/>
    <w:basedOn w:val="BodyTextRight"/>
    <w:rsid w:val="00370125"/>
    <w:rPr>
      <w:sz w:val="18"/>
      <w:szCs w:val="18"/>
    </w:rPr>
  </w:style>
  <w:style w:type="paragraph" w:customStyle="1" w:styleId="MarginEdition">
    <w:name w:val="Margin Edition"/>
    <w:basedOn w:val="MarginNote"/>
    <w:rsid w:val="00370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125"/>
    <w:rPr>
      <w:sz w:val="2"/>
      <w:szCs w:val="2"/>
    </w:rPr>
  </w:style>
  <w:style w:type="character" w:customStyle="1" w:styleId="Small">
    <w:name w:val="Small"/>
    <w:basedOn w:val="DefaultParagraphFont"/>
    <w:rsid w:val="00370125"/>
    <w:rPr>
      <w:sz w:val="16"/>
    </w:rPr>
  </w:style>
  <w:style w:type="paragraph" w:customStyle="1" w:styleId="WideTable">
    <w:name w:val="Wide Table"/>
    <w:basedOn w:val="Normal"/>
    <w:rsid w:val="00370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125"/>
  </w:style>
  <w:style w:type="paragraph" w:styleId="Quote">
    <w:name w:val="Quote"/>
    <w:basedOn w:val="Heading1"/>
    <w:link w:val="QuoteChar"/>
    <w:qFormat/>
    <w:rsid w:val="00370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125"/>
    <w:pPr>
      <w:pageBreakBefore/>
    </w:pPr>
  </w:style>
  <w:style w:type="paragraph" w:customStyle="1" w:styleId="Border">
    <w:name w:val="Border"/>
    <w:basedOn w:val="Normal"/>
    <w:qFormat/>
    <w:rsid w:val="00370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125"/>
    <w:rPr>
      <w:u w:val="single"/>
    </w:rPr>
  </w:style>
  <w:style w:type="character" w:customStyle="1" w:styleId="BoldandItalics">
    <w:name w:val="Bold and Italics"/>
    <w:qFormat/>
    <w:rsid w:val="00370125"/>
    <w:rPr>
      <w:b/>
      <w:i/>
      <w:u w:val="none"/>
    </w:rPr>
  </w:style>
  <w:style w:type="paragraph" w:styleId="BalloonText">
    <w:name w:val="Balloon Text"/>
    <w:basedOn w:val="Normal"/>
    <w:link w:val="BalloonTextChar"/>
    <w:rsid w:val="00370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125"/>
    <w:pPr>
      <w:spacing w:before="0" w:after="0"/>
    </w:pPr>
  </w:style>
  <w:style w:type="paragraph" w:customStyle="1" w:styleId="BodyTextBold">
    <w:name w:val="Body Text Bold"/>
    <w:basedOn w:val="BodyText"/>
    <w:qFormat/>
    <w:rsid w:val="00370125"/>
    <w:rPr>
      <w:b/>
    </w:rPr>
  </w:style>
  <w:style w:type="character" w:styleId="Hyperlink">
    <w:name w:val="Hyperlink"/>
    <w:basedOn w:val="DefaultParagraphFont"/>
    <w:uiPriority w:val="99"/>
    <w:unhideWhenUsed/>
    <w:rsid w:val="00A97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2422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CPCCST2001 Prepare for stonemasonry construction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