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2298" w:rsidP="008B2298">
      <w:pPr>
        <w:pStyle w:val="Title"/>
      </w:pPr>
      <w:r>
        <w:fldChar w:fldCharType="begin"/>
      </w:r>
      <w:r>
        <w:instrText xml:space="preserve"> TITLE   \* MERGEFORMAT </w:instrText>
      </w:r>
      <w:r>
        <w:fldChar w:fldCharType="separate"/>
      </w:r>
      <w:r>
        <w:t>CPCCSG3016 Prepare surfaces for signs</w:t>
      </w:r>
      <w:r>
        <w:fldChar w:fldCharType="end"/>
      </w:r>
    </w:p>
    <w:p w:rsidR="008B2298" w:rsidP="008B2298">
      <w:pPr>
        <w:pStyle w:val="Version"/>
        <w:sectPr w:rsidSect="00CC74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7497" w:rsidP="00CC7497">
      <w:pPr>
        <w:pStyle w:val="SuperHeading"/>
      </w:pPr>
      <w:r w:rsidRPr="00CC7497">
        <w:t>CPCCSG3016 Prepare surfaces for signs</w:t>
      </w:r>
    </w:p>
    <w:p w:rsidR="00000000" w:rsidRPr="00CC7497" w:rsidP="00CC7497">
      <w:pPr>
        <w:pStyle w:val="Heading1"/>
      </w:pPr>
      <w:bookmarkStart w:id="1" w:name="O_832309"/>
      <w:bookmarkEnd w:id="1"/>
      <w:r w:rsidRPr="00CC7497">
        <w:t>Modification History</w:t>
      </w:r>
    </w:p>
    <w:p w:rsidR="00000000" w:rsidRPr="00CC7497" w:rsidP="008B2298">
      <w:pPr>
        <w:pStyle w:val="BodyText"/>
      </w:pPr>
      <w:r w:rsidRPr="00CC7497">
        <w:t>Release 1.</w:t>
      </w:r>
    </w:p>
    <w:p w:rsidR="00000000" w:rsidRPr="00CC7497" w:rsidP="008B2298">
      <w:pPr>
        <w:pStyle w:val="BodyText"/>
      </w:pPr>
      <w:r w:rsidRPr="00CC7497">
        <w:t>This version first released with CPC Construction and Property Services Training Package Version 2.</w:t>
      </w:r>
    </w:p>
    <w:p w:rsidR="00000000" w:rsidRPr="00CC7497" w:rsidP="008B2298">
      <w:pPr>
        <w:pStyle w:val="BodyText"/>
      </w:pPr>
      <w:r w:rsidRPr="00CC7497">
        <w:t>Revised unit of competency. Replaces superseded equivalent CPCCSI2003A Prepare surfaces for signage.</w:t>
      </w:r>
    </w:p>
    <w:p w:rsidR="00000000" w:rsidRPr="00CC7497" w:rsidP="00CC7497">
      <w:pPr>
        <w:pStyle w:val="Heading1"/>
      </w:pPr>
      <w:bookmarkStart w:id="2" w:name="O_832317"/>
      <w:bookmarkEnd w:id="2"/>
      <w:r w:rsidRPr="00CC7497">
        <w:t>Appl</w:t>
      </w:r>
      <w:r w:rsidRPr="00CC7497">
        <w:t>ication</w:t>
      </w:r>
    </w:p>
    <w:p w:rsidR="00000000" w:rsidRPr="00CC7497" w:rsidP="008B2298">
      <w:pPr>
        <w:pStyle w:val="BodyText"/>
      </w:pPr>
      <w:r w:rsidRPr="00CC7497">
        <w:t>This unit of competency specifies the outcomes required to ensure surfaces are prepared and ready for fixing signs. The unit covers assessing surfaces, which can include metals, plastics, brick and plasterboard walls; identifying the extent of prep</w:t>
      </w:r>
      <w:r w:rsidRPr="00CC7497">
        <w:t xml:space="preserve">aration required; selecting and preparing equipment; and applying materials to the surface safely and effectively, minimising damage to surrounding areas. </w:t>
      </w:r>
    </w:p>
    <w:p w:rsidR="00000000" w:rsidRPr="00CC7497" w:rsidP="008B2298">
      <w:pPr>
        <w:pStyle w:val="BodyText"/>
      </w:pPr>
      <w:r w:rsidRPr="00CC7497">
        <w:t>The unit supports sign manufacturers who install signs in a range of indoor and outdoor settings.</w:t>
      </w:r>
    </w:p>
    <w:p w:rsidR="00000000" w:rsidRPr="00CC7497" w:rsidP="008B2298">
      <w:pPr>
        <w:pStyle w:val="BodyText"/>
      </w:pPr>
      <w:r w:rsidRPr="00CC7497">
        <w:t>No licensing, legislative, regulatory or certification requirements apply to this unit of competency at the time of endorsement.</w:t>
      </w:r>
    </w:p>
    <w:p w:rsidR="00000000" w:rsidRPr="00CC7497" w:rsidP="00CC7497">
      <w:pPr>
        <w:pStyle w:val="Heading1"/>
      </w:pPr>
      <w:bookmarkStart w:id="3" w:name="O_832316"/>
      <w:bookmarkEnd w:id="3"/>
      <w:r w:rsidRPr="00CC7497">
        <w:t>Pre-requisite Unit</w:t>
      </w:r>
    </w:p>
    <w:p w:rsidR="00000000" w:rsidRPr="00CC7497" w:rsidP="008B2298">
      <w:pPr>
        <w:pStyle w:val="BodyText"/>
      </w:pPr>
      <w:r w:rsidRPr="00CC7497">
        <w:t>Nil</w:t>
      </w:r>
    </w:p>
    <w:p w:rsidR="00000000" w:rsidRPr="00CC7497" w:rsidP="00CC7497">
      <w:pPr>
        <w:pStyle w:val="Heading1"/>
      </w:pPr>
      <w:bookmarkStart w:id="4" w:name="O_832315"/>
      <w:bookmarkEnd w:id="4"/>
      <w:r w:rsidRPr="00CC7497">
        <w:t>Competency Field</w:t>
      </w:r>
    </w:p>
    <w:p w:rsidR="00000000" w:rsidRPr="00CC7497" w:rsidP="008B2298">
      <w:pPr>
        <w:pStyle w:val="BodyText"/>
      </w:pPr>
      <w:r w:rsidRPr="00CC7497">
        <w:t>Signs and graphics</w:t>
      </w:r>
    </w:p>
    <w:p w:rsidR="00000000" w:rsidRPr="00CC7497" w:rsidP="00CC7497">
      <w:pPr>
        <w:pStyle w:val="Heading1"/>
      </w:pPr>
      <w:bookmarkStart w:id="5" w:name="O_832314"/>
      <w:bookmarkEnd w:id="5"/>
      <w:r w:rsidRPr="00CC7497">
        <w:t>Unit Sector</w:t>
      </w:r>
    </w:p>
    <w:p w:rsidR="00000000" w:rsidRPr="00CC7497" w:rsidP="008B2298">
      <w:pPr>
        <w:pStyle w:val="BodyText"/>
      </w:pPr>
      <w:r w:rsidRPr="00CC7497">
        <w:t>Const</w:t>
      </w:r>
      <w:r w:rsidRPr="00CC7497">
        <w:t>ruction</w:t>
      </w:r>
    </w:p>
    <w:p w:rsidR="00000000" w:rsidRPr="00CC7497" w:rsidP="00CC7497">
      <w:pPr>
        <w:pStyle w:val="Heading1"/>
      </w:pPr>
      <w:bookmarkStart w:id="6" w:name="O_832313"/>
      <w:bookmarkEnd w:id="6"/>
      <w:r w:rsidRPr="00CC7497">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CC7497">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 xml:space="preserve">Performance criteria describe the performance needed to demonstrate </w:t>
            </w:r>
            <w:r w:rsidRPr="00CC7497">
              <w:t>achievement of the element. Where bold italicised text is used, further information is detailed in the range of conditions.</w:t>
            </w:r>
          </w:p>
        </w:tc>
      </w:tr>
      <w:tr w:rsidTr="00CC7497">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CC7497">
            <w:pPr>
              <w:pStyle w:val="BodyText"/>
              <w:rPr>
                <w:lang w:val="en-NZ"/>
              </w:rPr>
            </w:pPr>
          </w:p>
        </w:tc>
      </w:tr>
      <w:tr w:rsidTr="00CC74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1</w:t>
            </w:r>
          </w:p>
        </w:tc>
        <w:tc>
          <w:tcPr>
            <w:tcW w:w="1986" w:type="dxa"/>
            <w:vMerge w:val="restart"/>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 xml:space="preserve">Plan surface </w:t>
            </w:r>
            <w:r w:rsidRPr="00CC7497">
              <w:t>preparation.</w:t>
            </w:r>
          </w:p>
        </w:tc>
        <w:tc>
          <w:tcPr>
            <w:tcW w:w="779"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1.1</w:t>
            </w:r>
          </w:p>
        </w:tc>
        <w:tc>
          <w:tcPr>
            <w:tcW w:w="5678"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Job requirements, including type of surface, are identified from drawings, specifications and</w:t>
            </w:r>
            <w:r w:rsidRPr="00CC7497">
              <w:t xml:space="preserve"> instructions and type, </w:t>
            </w:r>
            <w:r w:rsidRPr="00CC7497">
              <w:t>and confirmed.</w:t>
            </w:r>
          </w:p>
        </w:tc>
      </w:tr>
      <w:tr w:rsidTr="00CC74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CC7497" w:rsidP="00CC7497">
            <w:pPr>
              <w:pStyle w:val="BodyText"/>
            </w:pPr>
            <w:r w:rsidRPr="00CC7497">
              <w:t>1.2</w:t>
            </w:r>
          </w:p>
        </w:tc>
        <w:tc>
          <w:tcPr>
            <w:tcW w:w="5678"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rPr>
                <w:rStyle w:val="BoldandItalics"/>
              </w:rPr>
              <w:t>Health and safety requirements</w:t>
            </w:r>
            <w:r w:rsidRPr="00CC7497">
              <w:t xml:space="preserve"> are assessed and applied to planning.</w:t>
            </w:r>
          </w:p>
        </w:tc>
      </w:tr>
      <w:tr w:rsidTr="00CC74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CC7497" w:rsidP="00CC7497">
            <w:pPr>
              <w:pStyle w:val="BodyText"/>
            </w:pPr>
            <w:r w:rsidRPr="00CC7497">
              <w:t>1.3</w:t>
            </w:r>
          </w:p>
        </w:tc>
        <w:tc>
          <w:tcPr>
            <w:tcW w:w="5678"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rPr>
                <w:rStyle w:val="BoldandItalics"/>
              </w:rPr>
              <w:t>Tools, equipment</w:t>
            </w:r>
            <w:r w:rsidRPr="00CC7497">
              <w:t xml:space="preserve">, paint systems and materials are selected to carry out tasks consistent with job requirements, and faults are rectified or reported before starting work. </w:t>
            </w:r>
          </w:p>
        </w:tc>
      </w:tr>
      <w:tr w:rsidTr="00CC74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1.4</w:t>
            </w:r>
          </w:p>
        </w:tc>
        <w:tc>
          <w:tcPr>
            <w:tcW w:w="5678"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Drop sheets are placed if required to protect floor and surrounding areas.</w:t>
            </w:r>
          </w:p>
        </w:tc>
      </w:tr>
      <w:tr w:rsidTr="00CC74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CC7497" w:rsidP="00CC7497">
            <w:pPr>
              <w:pStyle w:val="BodyText"/>
            </w:pPr>
            <w:r w:rsidRPr="00CC7497">
              <w:t>1.5</w:t>
            </w:r>
          </w:p>
        </w:tc>
        <w:tc>
          <w:tcPr>
            <w:tcW w:w="5678"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rPr>
                <w:rStyle w:val="BoldandItalics"/>
              </w:rPr>
              <w:t>Personal pr</w:t>
            </w:r>
            <w:r w:rsidRPr="00CC7497">
              <w:rPr>
                <w:rStyle w:val="BoldandItalics"/>
              </w:rPr>
              <w:t>otective equipment</w:t>
            </w:r>
            <w:r w:rsidRPr="00CC7497">
              <w:t xml:space="preserve"> (PPE) is sourced according to manufacturer specifications, and health and safety and workplace requirements.</w:t>
            </w:r>
          </w:p>
        </w:tc>
      </w:tr>
      <w:tr w:rsidTr="00CC74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1.6</w:t>
            </w:r>
          </w:p>
        </w:tc>
        <w:tc>
          <w:tcPr>
            <w:tcW w:w="5678" w:type="dxa"/>
            <w:tcBorders>
              <w:top w:val="nil"/>
              <w:left w:val="nil"/>
              <w:bottom w:val="nil"/>
              <w:right w:val="nil"/>
            </w:tcBorders>
            <w:tcMar>
              <w:top w:w="0" w:type="dxa"/>
              <w:left w:w="62" w:type="dxa"/>
              <w:bottom w:w="0" w:type="dxa"/>
              <w:right w:w="62" w:type="dxa"/>
            </w:tcMar>
          </w:tcPr>
          <w:p w:rsidR="00000000" w:rsidRPr="00CC7497" w:rsidP="00CC7497">
            <w:pPr>
              <w:pStyle w:val="BodyText"/>
            </w:pPr>
            <w:r w:rsidRPr="00CC7497">
              <w:t>Signs and barricades are selected and installed according to health and safety and workplace requirements.</w:t>
            </w:r>
          </w:p>
        </w:tc>
      </w:tr>
    </w:tbl>
    <w:p w:rsidR="00000000" w:rsidRPr="00CC7497" w:rsidP="00CC7497">
      <w:pPr>
        <w:pStyle w:val="BodyText"/>
      </w:pPr>
    </w:p>
    <w:tbl>
      <w:tblPr>
        <w:tblW w:w="0" w:type="auto"/>
        <w:tblLayout w:type="fixed"/>
        <w:tblCellMar>
          <w:left w:w="62" w:type="dxa"/>
          <w:right w:w="62" w:type="dxa"/>
        </w:tblCellMar>
        <w:tblLook w:val="0000"/>
      </w:tblPr>
      <w:tblGrid>
        <w:gridCol w:w="686"/>
        <w:gridCol w:w="1985"/>
        <w:gridCol w:w="779"/>
        <w:gridCol w:w="5678"/>
      </w:tblGrid>
      <w:tr w:rsidTr="00CC74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2</w:t>
            </w:r>
          </w:p>
        </w:tc>
        <w:tc>
          <w:tcPr>
            <w:tcW w:w="1985" w:type="dxa"/>
            <w:vMerge w:val="restart"/>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Clean and prime surface.</w:t>
            </w:r>
          </w:p>
        </w:tc>
        <w:tc>
          <w:tcPr>
            <w:tcW w:w="779"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2.1</w:t>
            </w:r>
          </w:p>
        </w:tc>
        <w:tc>
          <w:tcPr>
            <w:tcW w:w="5678"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Condition of surface is assessed.</w:t>
            </w:r>
          </w:p>
        </w:tc>
      </w:tr>
      <w:tr w:rsidTr="00CC74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2.2</w:t>
            </w:r>
          </w:p>
        </w:tc>
        <w:tc>
          <w:tcPr>
            <w:tcW w:w="5678"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Surface is roughly sanded according to job requirements.</w:t>
            </w:r>
          </w:p>
        </w:tc>
      </w:tr>
      <w:tr w:rsidTr="00CC74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2.3</w:t>
            </w:r>
          </w:p>
        </w:tc>
        <w:tc>
          <w:tcPr>
            <w:tcW w:w="5678"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 xml:space="preserve">Surface is </w:t>
            </w:r>
            <w:r w:rsidRPr="00CC7497">
              <w:rPr>
                <w:rStyle w:val="BoldandItalics"/>
              </w:rPr>
              <w:t>cleaned</w:t>
            </w:r>
            <w:r w:rsidRPr="00CC7497">
              <w:t xml:space="preserve"> to remove grease and dirt and allowed to dry. </w:t>
            </w:r>
          </w:p>
        </w:tc>
      </w:tr>
      <w:tr w:rsidTr="00CC74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2.4</w:t>
            </w:r>
          </w:p>
        </w:tc>
        <w:tc>
          <w:tcPr>
            <w:tcW w:w="5678"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 xml:space="preserve">Undercoat is applied to surface and allowed to dry according to manufacturer specifications. </w:t>
            </w:r>
          </w:p>
        </w:tc>
      </w:tr>
      <w:tr w:rsidTr="00CC74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2.5</w:t>
            </w:r>
          </w:p>
        </w:tc>
        <w:tc>
          <w:tcPr>
            <w:tcW w:w="5678" w:type="dxa"/>
            <w:tcBorders>
              <w:top w:val="nil"/>
              <w:left w:val="nil"/>
              <w:bottom w:val="nil"/>
              <w:right w:val="nil"/>
            </w:tcBorders>
            <w:tcMar>
              <w:top w:w="0" w:type="dxa"/>
              <w:left w:w="62" w:type="dxa"/>
              <w:bottom w:w="0" w:type="dxa"/>
              <w:right w:w="62" w:type="dxa"/>
            </w:tcMar>
          </w:tcPr>
          <w:p w:rsidR="00000000" w:rsidRPr="00CC7497" w:rsidP="00CC7497">
            <w:pPr>
              <w:pStyle w:val="BodyText"/>
            </w:pPr>
            <w:r w:rsidRPr="00CC7497">
              <w:t>Primer is applied to surface and allowed to dry according to manufacturer specifications.</w:t>
            </w:r>
          </w:p>
        </w:tc>
      </w:tr>
    </w:tbl>
    <w:p w:rsidR="00000000" w:rsidRPr="00CC7497" w:rsidP="00CC7497">
      <w:pPr>
        <w:pStyle w:val="BodyText"/>
      </w:pPr>
    </w:p>
    <w:tbl>
      <w:tblPr>
        <w:tblW w:w="0" w:type="auto"/>
        <w:tblLayout w:type="fixed"/>
        <w:tblCellMar>
          <w:left w:w="62" w:type="dxa"/>
          <w:right w:w="62" w:type="dxa"/>
        </w:tblCellMar>
        <w:tblLook w:val="0000"/>
      </w:tblPr>
      <w:tblGrid>
        <w:gridCol w:w="686"/>
        <w:gridCol w:w="1985"/>
        <w:gridCol w:w="779"/>
        <w:gridCol w:w="5678"/>
      </w:tblGrid>
      <w:tr w:rsidTr="00CC74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3</w:t>
            </w:r>
          </w:p>
        </w:tc>
        <w:tc>
          <w:tcPr>
            <w:tcW w:w="1985" w:type="dxa"/>
            <w:vMerge w:val="restart"/>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Apply paint.</w:t>
            </w:r>
          </w:p>
        </w:tc>
        <w:tc>
          <w:tcPr>
            <w:tcW w:w="779" w:type="dxa"/>
            <w:tcBorders>
              <w:top w:val="nil"/>
              <w:left w:val="nil"/>
              <w:bottom w:val="nil"/>
              <w:right w:val="nil"/>
            </w:tcBorders>
            <w:tcMar>
              <w:top w:w="0" w:type="dxa"/>
              <w:left w:w="62" w:type="dxa"/>
              <w:bottom w:w="0" w:type="dxa"/>
              <w:right w:w="62" w:type="dxa"/>
            </w:tcMar>
          </w:tcPr>
          <w:p w:rsidR="00000000" w:rsidRPr="00CC7497" w:rsidP="00CC7497">
            <w:pPr>
              <w:pStyle w:val="BodyText"/>
            </w:pPr>
            <w:r w:rsidRPr="00CC7497">
              <w:t>3.1</w:t>
            </w:r>
          </w:p>
        </w:tc>
        <w:tc>
          <w:tcPr>
            <w:tcW w:w="5678"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rPr>
                <w:rStyle w:val="BoldandItalics"/>
              </w:rPr>
              <w:t>Paint applicator</w:t>
            </w:r>
            <w:r w:rsidRPr="00CC7497">
              <w:t xml:space="preserve"> compatible with coating typ</w:t>
            </w:r>
            <w:r w:rsidRPr="00CC7497">
              <w:t>e is selected and prepared according to manufacturer specifications.</w:t>
            </w:r>
          </w:p>
        </w:tc>
      </w:tr>
      <w:tr w:rsidTr="00CC74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3.2</w:t>
            </w:r>
          </w:p>
        </w:tc>
        <w:tc>
          <w:tcPr>
            <w:tcW w:w="5678"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Spray gun and air compressor, if required, are set to manufacturer specifications and correct viscosity of paint is determined for specified application.</w:t>
            </w:r>
          </w:p>
        </w:tc>
      </w:tr>
      <w:tr w:rsidTr="00CC74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3.3</w:t>
            </w:r>
          </w:p>
        </w:tc>
        <w:tc>
          <w:tcPr>
            <w:tcW w:w="5678" w:type="dxa"/>
            <w:tcBorders>
              <w:top w:val="nil"/>
              <w:left w:val="nil"/>
              <w:bottom w:val="nil"/>
              <w:right w:val="nil"/>
            </w:tcBorders>
            <w:tcMar>
              <w:top w:w="0" w:type="dxa"/>
              <w:left w:w="62" w:type="dxa"/>
              <w:bottom w:w="0" w:type="dxa"/>
              <w:right w:w="62" w:type="dxa"/>
            </w:tcMar>
          </w:tcPr>
          <w:p w:rsidR="00000000" w:rsidRPr="00CC7497" w:rsidP="00CC7497">
            <w:pPr>
              <w:pStyle w:val="BodyText"/>
            </w:pPr>
            <w:r w:rsidRPr="00CC7497">
              <w:t>Coating is applied evenly over the surface area and defects in application are identified and rectified.</w:t>
            </w:r>
          </w:p>
        </w:tc>
      </w:tr>
    </w:tbl>
    <w:p w:rsidR="00000000" w:rsidRPr="00CC7497" w:rsidP="00CC7497">
      <w:pPr>
        <w:pStyle w:val="BodyText"/>
      </w:pPr>
    </w:p>
    <w:tbl>
      <w:tblPr>
        <w:tblW w:w="0" w:type="auto"/>
        <w:tblLayout w:type="fixed"/>
        <w:tblCellMar>
          <w:left w:w="62" w:type="dxa"/>
          <w:right w:w="62" w:type="dxa"/>
        </w:tblCellMar>
        <w:tblLook w:val="0000"/>
      </w:tblPr>
      <w:tblGrid>
        <w:gridCol w:w="686"/>
        <w:gridCol w:w="1985"/>
        <w:gridCol w:w="779"/>
        <w:gridCol w:w="5678"/>
      </w:tblGrid>
      <w:tr w:rsidTr="00CC74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4</w:t>
            </w:r>
          </w:p>
        </w:tc>
        <w:tc>
          <w:tcPr>
            <w:tcW w:w="1985" w:type="dxa"/>
            <w:vMerge w:val="restart"/>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Clean up.</w:t>
            </w:r>
          </w:p>
        </w:tc>
        <w:tc>
          <w:tcPr>
            <w:tcW w:w="779"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4.1</w:t>
            </w:r>
          </w:p>
        </w:tc>
        <w:tc>
          <w:tcPr>
            <w:tcW w:w="5678"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 xml:space="preserve">Paint applicator is cleaned using correct cleaning </w:t>
            </w:r>
            <w:r w:rsidRPr="00CC7497">
              <w:t>products and according to workplace procedures and manufacturer specifications.</w:t>
            </w:r>
          </w:p>
        </w:tc>
      </w:tr>
      <w:tr w:rsidTr="00CC74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4.2</w:t>
            </w:r>
          </w:p>
        </w:tc>
        <w:tc>
          <w:tcPr>
            <w:tcW w:w="5678"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Surface and surrounding work area are cleaned using correct solvents and in line with safety and environmental requirements.</w:t>
            </w:r>
          </w:p>
        </w:tc>
      </w:tr>
      <w:tr w:rsidTr="00CC74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4.3</w:t>
            </w:r>
          </w:p>
        </w:tc>
        <w:tc>
          <w:tcPr>
            <w:tcW w:w="5678"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 xml:space="preserve">Waste materials are handled and removed according to statutory and regulatory authority requirements. </w:t>
            </w:r>
          </w:p>
        </w:tc>
      </w:tr>
      <w:tr w:rsidTr="00CC74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4.4</w:t>
            </w:r>
          </w:p>
        </w:tc>
        <w:tc>
          <w:tcPr>
            <w:tcW w:w="5678" w:type="dxa"/>
            <w:tcBorders>
              <w:top w:val="nil"/>
              <w:left w:val="nil"/>
              <w:bottom w:val="nil"/>
              <w:right w:val="nil"/>
            </w:tcBorders>
            <w:tcMar>
              <w:top w:w="0" w:type="dxa"/>
              <w:left w:w="62" w:type="dxa"/>
              <w:bottom w:w="0" w:type="dxa"/>
              <w:right w:w="62" w:type="dxa"/>
            </w:tcMar>
          </w:tcPr>
          <w:p w:rsidR="00000000" w:rsidRPr="00CC7497" w:rsidP="00CC7497">
            <w:pPr>
              <w:pStyle w:val="BodyText"/>
            </w:pPr>
            <w:r w:rsidRPr="00CC7497">
              <w:t>Tools and equipment, including personal protective equipment (PPE), are cleaned, maintained and stored according to workplace requirements.</w:t>
            </w:r>
          </w:p>
        </w:tc>
      </w:tr>
    </w:tbl>
    <w:p w:rsidR="00000000" w:rsidRPr="00CC7497" w:rsidP="00CC7497">
      <w:pPr>
        <w:pStyle w:val="BodyText"/>
      </w:pPr>
    </w:p>
    <w:p w:rsidR="00000000" w:rsidRPr="00CC7497" w:rsidP="00CC7497">
      <w:pPr>
        <w:pStyle w:val="AllowPageBreak"/>
      </w:pPr>
    </w:p>
    <w:p w:rsidR="00000000" w:rsidRPr="00CC7497" w:rsidP="00CC7497">
      <w:pPr>
        <w:pStyle w:val="Heading1"/>
      </w:pPr>
      <w:bookmarkStart w:id="7" w:name="O_832312"/>
      <w:bookmarkEnd w:id="7"/>
      <w:r w:rsidRPr="00CC7497">
        <w:t>Foundation Skills</w:t>
      </w:r>
    </w:p>
    <w:tbl>
      <w:tblPr>
        <w:tblW w:w="0" w:type="auto"/>
        <w:tblLayout w:type="fixed"/>
        <w:tblCellMar>
          <w:left w:w="62" w:type="dxa"/>
          <w:right w:w="62" w:type="dxa"/>
        </w:tblCellMar>
        <w:tblLook w:val="0000"/>
      </w:tblPr>
      <w:tblGrid>
        <w:gridCol w:w="2212"/>
        <w:gridCol w:w="6750"/>
      </w:tblGrid>
      <w:tr w:rsidTr="00CC7497">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This section describes the language, literacy, numeracy and employment skills e</w:t>
            </w:r>
            <w:r w:rsidRPr="00CC7497">
              <w:t>ssential to performance in this unit but not explicit in the performance criteria.</w:t>
            </w:r>
          </w:p>
        </w:tc>
      </w:tr>
      <w:tr w:rsidTr="00CC7497">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CC7497" w:rsidP="00CC7497">
            <w:pPr>
              <w:pStyle w:val="BodyText"/>
            </w:pPr>
            <w:r w:rsidRPr="00CC7497">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rPr>
                <w:rStyle w:val="SpecialBold"/>
              </w:rPr>
              <w:t>Performance feature</w:t>
            </w:r>
          </w:p>
        </w:tc>
      </w:tr>
      <w:tr w:rsidTr="00CC7497">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Learning skills to:</w:t>
            </w:r>
          </w:p>
        </w:tc>
        <w:tc>
          <w:tcPr>
            <w:tcW w:w="6750" w:type="dxa"/>
            <w:tcBorders>
              <w:top w:val="nil"/>
              <w:left w:val="nil"/>
              <w:bottom w:val="nil"/>
              <w:right w:val="nil"/>
            </w:tcBorders>
            <w:tcMar>
              <w:top w:w="0" w:type="dxa"/>
              <w:left w:w="62" w:type="dxa"/>
              <w:bottom w:w="0" w:type="dxa"/>
              <w:right w:w="62" w:type="dxa"/>
            </w:tcMar>
          </w:tcPr>
          <w:p w:rsidR="00000000" w:rsidRPr="00CC7497" w:rsidP="00CC7497">
            <w:pPr>
              <w:pStyle w:val="ListBullet"/>
            </w:pPr>
            <w:r w:rsidRPr="00CC7497">
              <w:t>assess the nature of preparation required for new and challenging surfaces.</w:t>
            </w:r>
          </w:p>
          <w:p w:rsidR="00000000" w:rsidP="00CC7497">
            <w:pPr>
              <w:pStyle w:val="BodyText"/>
              <w:rPr>
                <w:lang w:val="en-NZ"/>
              </w:rPr>
            </w:pPr>
          </w:p>
        </w:tc>
      </w:tr>
      <w:tr w:rsidTr="00CC7497">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Numeracy skills to:</w:t>
            </w:r>
          </w:p>
        </w:tc>
        <w:tc>
          <w:tcPr>
            <w:tcW w:w="6750" w:type="dxa"/>
            <w:tcBorders>
              <w:top w:val="nil"/>
              <w:left w:val="nil"/>
              <w:bottom w:val="nil"/>
              <w:right w:val="nil"/>
            </w:tcBorders>
            <w:tcMar>
              <w:top w:w="0" w:type="dxa"/>
              <w:left w:w="62" w:type="dxa"/>
              <w:bottom w:w="0" w:type="dxa"/>
              <w:right w:w="62" w:type="dxa"/>
            </w:tcMar>
          </w:tcPr>
          <w:p w:rsidR="00000000" w:rsidRPr="00CC7497" w:rsidP="00CC7497">
            <w:pPr>
              <w:pStyle w:val="ListBullet"/>
            </w:pPr>
            <w:r w:rsidRPr="00CC7497">
              <w:t>calculate material quantities required to prepare the specified surface area.</w:t>
            </w:r>
          </w:p>
          <w:p w:rsidR="00000000" w:rsidP="00CC7497">
            <w:pPr>
              <w:pStyle w:val="BodyText"/>
              <w:rPr>
                <w:lang w:val="en-NZ"/>
              </w:rPr>
            </w:pPr>
          </w:p>
        </w:tc>
      </w:tr>
      <w:tr w:rsidTr="00CC7497">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CC7497" w:rsidP="00CC7497">
            <w:pPr>
              <w:pStyle w:val="ListBullet"/>
            </w:pPr>
            <w:r w:rsidRPr="00CC7497">
              <w:t>clarify job requirements and expectations with client and colleagues.</w:t>
            </w:r>
          </w:p>
          <w:p w:rsidR="00000000" w:rsidP="00CC7497">
            <w:pPr>
              <w:pStyle w:val="BodyText"/>
              <w:rPr>
                <w:lang w:val="en-NZ"/>
              </w:rPr>
            </w:pPr>
          </w:p>
        </w:tc>
      </w:tr>
      <w:tr w:rsidTr="00CC7497">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Reading skills to:</w:t>
            </w:r>
          </w:p>
        </w:tc>
        <w:tc>
          <w:tcPr>
            <w:tcW w:w="6750" w:type="dxa"/>
            <w:tcBorders>
              <w:top w:val="nil"/>
              <w:left w:val="nil"/>
              <w:bottom w:val="nil"/>
              <w:right w:val="nil"/>
            </w:tcBorders>
            <w:tcMar>
              <w:top w:w="0" w:type="dxa"/>
              <w:left w:w="62" w:type="dxa"/>
              <w:bottom w:w="0" w:type="dxa"/>
              <w:right w:w="62" w:type="dxa"/>
            </w:tcMar>
          </w:tcPr>
          <w:p w:rsidR="00000000" w:rsidRPr="00CC7497" w:rsidP="00CC7497">
            <w:pPr>
              <w:pStyle w:val="ListBullet"/>
            </w:pPr>
            <w:r w:rsidRPr="00CC7497">
              <w:t>identify and interpret manufacturer specifications for tools, equipment and materials used when preparing surfaces for signs.</w:t>
            </w:r>
          </w:p>
          <w:p w:rsidR="00000000" w:rsidP="00CC7497">
            <w:pPr>
              <w:pStyle w:val="BodyText"/>
              <w:rPr>
                <w:lang w:val="en-NZ"/>
              </w:rPr>
            </w:pPr>
          </w:p>
        </w:tc>
      </w:tr>
      <w:tr w:rsidTr="00CC7497">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Writing skills to:</w:t>
            </w:r>
          </w:p>
        </w:tc>
        <w:tc>
          <w:tcPr>
            <w:tcW w:w="6750" w:type="dxa"/>
            <w:tcBorders>
              <w:top w:val="nil"/>
              <w:left w:val="nil"/>
              <w:bottom w:val="nil"/>
              <w:right w:val="nil"/>
            </w:tcBorders>
            <w:tcMar>
              <w:top w:w="0" w:type="dxa"/>
              <w:left w:w="62" w:type="dxa"/>
              <w:bottom w:w="0" w:type="dxa"/>
              <w:right w:w="62" w:type="dxa"/>
            </w:tcMar>
          </w:tcPr>
          <w:p w:rsidR="00000000" w:rsidRPr="00CC7497" w:rsidP="00CC7497">
            <w:pPr>
              <w:pStyle w:val="ListBullet"/>
            </w:pPr>
            <w:r w:rsidRPr="00CC7497">
              <w:t>report faults in tools and equipment to manufacturers and other relevant personnel in short, simple reports.</w:t>
            </w:r>
          </w:p>
          <w:p w:rsidR="00000000" w:rsidRPr="00CC7497" w:rsidP="00CC7497">
            <w:pPr>
              <w:pStyle w:val="BodyText"/>
            </w:pPr>
          </w:p>
        </w:tc>
      </w:tr>
    </w:tbl>
    <w:p w:rsidR="00000000" w:rsidRPr="00CC7497" w:rsidP="00CC7497">
      <w:pPr>
        <w:pStyle w:val="BodyText"/>
      </w:pPr>
    </w:p>
    <w:p w:rsidR="00000000" w:rsidRPr="00CC7497" w:rsidP="00CC7497">
      <w:pPr>
        <w:pStyle w:val="AllowPageBreak"/>
      </w:pPr>
    </w:p>
    <w:p w:rsidR="00000000" w:rsidRPr="00CC7497" w:rsidP="00CC7497">
      <w:pPr>
        <w:pStyle w:val="Heading1"/>
      </w:pPr>
      <w:bookmarkStart w:id="8" w:name="O_832311"/>
      <w:bookmarkEnd w:id="8"/>
      <w:r w:rsidRPr="00CC7497">
        <w:t>Range of Conditions</w:t>
      </w:r>
    </w:p>
    <w:tbl>
      <w:tblPr>
        <w:tblW w:w="0" w:type="auto"/>
        <w:tblLayout w:type="fixed"/>
        <w:tblCellMar>
          <w:left w:w="62" w:type="dxa"/>
          <w:right w:w="62" w:type="dxa"/>
        </w:tblCellMar>
        <w:tblLook w:val="0000"/>
      </w:tblPr>
      <w:tblGrid>
        <w:gridCol w:w="2239"/>
        <w:gridCol w:w="6723"/>
      </w:tblGrid>
      <w:tr w:rsidTr="00CC7497">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t xml:space="preserve">This section specifies work environments and conditions that may affect performance. Essential operating conditions that may be present (depending on the work </w:t>
            </w:r>
            <w:r w:rsidRPr="00CC7497">
              <w:t>situation, needs of the candidate, accessibility of the item, and local industry and regional contexts) are included. Bold italicised wording, if used in the performance criteria, is detailed below.</w:t>
            </w:r>
          </w:p>
        </w:tc>
      </w:tr>
      <w:tr w:rsidTr="00CC7497">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rPr>
                <w:rStyle w:val="BoldandItalics"/>
              </w:rPr>
              <w:t xml:space="preserve">Health and safety requirements </w:t>
            </w:r>
            <w:r w:rsidRPr="00CC7497">
              <w:t xml:space="preserve">must include: </w:t>
            </w:r>
          </w:p>
        </w:tc>
        <w:tc>
          <w:tcPr>
            <w:tcW w:w="6723" w:type="dxa"/>
            <w:tcBorders>
              <w:top w:val="nil"/>
              <w:left w:val="nil"/>
              <w:bottom w:val="nil"/>
              <w:right w:val="nil"/>
            </w:tcBorders>
            <w:tcMar>
              <w:top w:w="0" w:type="dxa"/>
              <w:left w:w="62" w:type="dxa"/>
              <w:bottom w:w="0" w:type="dxa"/>
              <w:right w:w="62" w:type="dxa"/>
            </w:tcMar>
          </w:tcPr>
          <w:p w:rsidR="00000000" w:rsidRPr="00CC7497" w:rsidP="00CC7497">
            <w:pPr>
              <w:pStyle w:val="ListBullet"/>
            </w:pPr>
            <w:r w:rsidRPr="00CC7497">
              <w:t>selectio</w:t>
            </w:r>
            <w:r w:rsidRPr="00CC7497">
              <w:t>n, correct fitting, and use of PPE prescribed under legislation, regulations and workplace policies and practices</w:t>
            </w:r>
          </w:p>
          <w:p w:rsidR="00000000" w:rsidRPr="00CC7497" w:rsidP="00CC7497">
            <w:pPr>
              <w:pStyle w:val="ListBullet"/>
            </w:pPr>
            <w:r w:rsidRPr="00CC7497">
              <w:t>emergency procedures, including:</w:t>
            </w:r>
          </w:p>
          <w:p w:rsidR="00000000" w:rsidRPr="00CC7497" w:rsidP="00CC7497">
            <w:pPr>
              <w:pStyle w:val="ListBullet2"/>
            </w:pPr>
            <w:r w:rsidRPr="00CC7497">
              <w:t>evacuation</w:t>
            </w:r>
          </w:p>
          <w:p w:rsidR="00000000" w:rsidRPr="00CC7497" w:rsidP="00CC7497">
            <w:pPr>
              <w:pStyle w:val="ListBullet2"/>
            </w:pPr>
            <w:r w:rsidRPr="00CC7497">
              <w:t>first aid</w:t>
            </w:r>
          </w:p>
          <w:p w:rsidR="00000000" w:rsidRPr="00CC7497" w:rsidP="00CC7497">
            <w:pPr>
              <w:pStyle w:val="ListBullet2"/>
            </w:pPr>
            <w:r w:rsidRPr="00CC7497">
              <w:t>location and use of fire-fighting equipment</w:t>
            </w:r>
          </w:p>
          <w:p w:rsidR="00000000" w:rsidRPr="00CC7497" w:rsidP="00CC7497">
            <w:pPr>
              <w:pStyle w:val="ListBullet"/>
            </w:pPr>
            <w:r w:rsidRPr="00CC7497">
              <w:t>hazard identification and risk control procedures</w:t>
            </w:r>
          </w:p>
          <w:p w:rsidR="00000000" w:rsidRPr="00CC7497" w:rsidP="00CC7497">
            <w:pPr>
              <w:pStyle w:val="ListBullet"/>
            </w:pPr>
            <w:r w:rsidRPr="00CC7497">
              <w:t>safe operating procedures, including the conduct of operational risk assessment and treatments associated with:</w:t>
            </w:r>
          </w:p>
          <w:p w:rsidR="00000000" w:rsidRPr="00CC7497" w:rsidP="00CC7497">
            <w:pPr>
              <w:pStyle w:val="ListBullet2"/>
            </w:pPr>
            <w:r w:rsidRPr="00CC7497">
              <w:t>concealed services (water, power and gas)</w:t>
            </w:r>
          </w:p>
          <w:p w:rsidR="00000000" w:rsidRPr="00CC7497" w:rsidP="00CC7497">
            <w:pPr>
              <w:pStyle w:val="ListBullet2"/>
            </w:pPr>
            <w:r w:rsidRPr="00CC7497">
              <w:t>lighting</w:t>
            </w:r>
          </w:p>
          <w:p w:rsidR="00000000" w:rsidRPr="00CC7497" w:rsidP="00CC7497">
            <w:pPr>
              <w:pStyle w:val="ListBullet2"/>
            </w:pPr>
            <w:r w:rsidRPr="00CC7497">
              <w:t>restricted access barriers</w:t>
            </w:r>
          </w:p>
          <w:p w:rsidR="00000000" w:rsidRPr="00CC7497" w:rsidP="00CC7497">
            <w:pPr>
              <w:pStyle w:val="ListBullet2"/>
            </w:pPr>
            <w:r w:rsidRPr="00CC7497">
              <w:t>traffic control</w:t>
            </w:r>
          </w:p>
          <w:p w:rsidR="00000000" w:rsidRPr="00CC7497" w:rsidP="00CC7497">
            <w:pPr>
              <w:pStyle w:val="ListBullet2"/>
            </w:pPr>
            <w:r w:rsidRPr="00CC7497">
              <w:t>working at heights</w:t>
            </w:r>
          </w:p>
          <w:p w:rsidR="00000000" w:rsidRPr="00CC7497" w:rsidP="00CC7497">
            <w:pPr>
              <w:pStyle w:val="ListBullet2"/>
            </w:pPr>
            <w:r w:rsidRPr="00CC7497">
              <w:t>work site visitors and the public</w:t>
            </w:r>
          </w:p>
          <w:p w:rsidR="00000000" w:rsidRPr="00CC7497" w:rsidP="00CC7497">
            <w:pPr>
              <w:pStyle w:val="ListBullet2"/>
            </w:pPr>
            <w:r w:rsidRPr="00CC7497">
              <w:t>working in confined spaces</w:t>
            </w:r>
          </w:p>
          <w:p w:rsidR="00000000" w:rsidRPr="00CC7497" w:rsidP="00CC7497">
            <w:pPr>
              <w:pStyle w:val="ListBullet2"/>
            </w:pPr>
            <w:r w:rsidRPr="00CC7497">
              <w:t>working in proximity to others</w:t>
            </w:r>
          </w:p>
          <w:p w:rsidR="00000000" w:rsidRPr="00CC7497" w:rsidP="00CC7497">
            <w:pPr>
              <w:pStyle w:val="ListBullet2"/>
            </w:pPr>
            <w:r w:rsidRPr="00CC7497">
              <w:t>use of machines</w:t>
            </w:r>
          </w:p>
          <w:p w:rsidR="00000000" w:rsidRPr="00CC7497" w:rsidP="00CC7497">
            <w:pPr>
              <w:pStyle w:val="ListBullet2"/>
            </w:pPr>
            <w:r w:rsidRPr="00CC7497">
              <w:t>use of tools and equipment</w:t>
            </w:r>
          </w:p>
          <w:p w:rsidR="00000000" w:rsidRPr="00CC7497" w:rsidP="00CC7497">
            <w:pPr>
              <w:pStyle w:val="ListBullet"/>
            </w:pPr>
            <w:r w:rsidRPr="00CC7497">
              <w:t>workplace environmental requirements.</w:t>
            </w:r>
          </w:p>
          <w:p w:rsidR="00000000" w:rsidP="00CC7497">
            <w:pPr>
              <w:pStyle w:val="BodyText"/>
              <w:rPr>
                <w:lang w:val="en-NZ"/>
              </w:rPr>
            </w:pPr>
          </w:p>
        </w:tc>
      </w:tr>
      <w:tr w:rsidTr="00CC7497">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rPr>
                <w:rStyle w:val="BoldandItalics"/>
              </w:rPr>
              <w:t>Tools and equipment</w:t>
            </w:r>
            <w:r w:rsidRPr="00CC7497">
              <w:t xml:space="preserve"> must include at least two of the following: </w:t>
            </w:r>
          </w:p>
        </w:tc>
        <w:tc>
          <w:tcPr>
            <w:tcW w:w="6723" w:type="dxa"/>
            <w:tcBorders>
              <w:top w:val="nil"/>
              <w:left w:val="nil"/>
              <w:bottom w:val="nil"/>
              <w:right w:val="nil"/>
            </w:tcBorders>
            <w:tcMar>
              <w:top w:w="0" w:type="dxa"/>
              <w:left w:w="62" w:type="dxa"/>
              <w:bottom w:w="0" w:type="dxa"/>
              <w:right w:w="62" w:type="dxa"/>
            </w:tcMar>
          </w:tcPr>
          <w:p w:rsidR="00000000" w:rsidRPr="00CC7497" w:rsidP="00CC7497">
            <w:pPr>
              <w:pStyle w:val="ListBullet"/>
            </w:pPr>
            <w:r w:rsidRPr="00CC7497">
              <w:t>air compressor</w:t>
            </w:r>
          </w:p>
          <w:p w:rsidR="00000000" w:rsidRPr="00CC7497" w:rsidP="00CC7497">
            <w:pPr>
              <w:pStyle w:val="ListBullet"/>
            </w:pPr>
            <w:r w:rsidRPr="00CC7497">
              <w:t>deburring tools</w:t>
            </w:r>
          </w:p>
          <w:p w:rsidR="00000000" w:rsidRPr="00CC7497" w:rsidP="00CC7497">
            <w:pPr>
              <w:pStyle w:val="ListBullet"/>
            </w:pPr>
            <w:r w:rsidRPr="00CC7497">
              <w:t>roller sleeve</w:t>
            </w:r>
          </w:p>
          <w:p w:rsidR="00000000" w:rsidRPr="00CC7497" w:rsidP="00CC7497">
            <w:pPr>
              <w:pStyle w:val="ListBullet"/>
            </w:pPr>
            <w:r w:rsidRPr="00CC7497">
              <w:t>ruler and marking tools</w:t>
            </w:r>
          </w:p>
          <w:p w:rsidR="00000000" w:rsidRPr="00CC7497" w:rsidP="00CC7497">
            <w:pPr>
              <w:pStyle w:val="ListBullet"/>
            </w:pPr>
            <w:r w:rsidRPr="00CC7497">
              <w:t xml:space="preserve">sanding equipment. </w:t>
            </w:r>
          </w:p>
          <w:p w:rsidR="00000000" w:rsidP="00CC7497">
            <w:pPr>
              <w:pStyle w:val="BodyText"/>
              <w:rPr>
                <w:lang w:val="en-NZ"/>
              </w:rPr>
            </w:pPr>
          </w:p>
        </w:tc>
      </w:tr>
      <w:tr w:rsidTr="00CC7497">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rPr>
                <w:rStyle w:val="BoldandItalics"/>
              </w:rPr>
              <w:t xml:space="preserve">Personal protective equipment </w:t>
            </w:r>
            <w:r w:rsidRPr="00CC7497">
              <w:t>must include:</w:t>
            </w:r>
          </w:p>
        </w:tc>
        <w:tc>
          <w:tcPr>
            <w:tcW w:w="6723" w:type="dxa"/>
            <w:tcBorders>
              <w:top w:val="nil"/>
              <w:left w:val="nil"/>
              <w:bottom w:val="nil"/>
              <w:right w:val="nil"/>
            </w:tcBorders>
            <w:tcMar>
              <w:top w:w="0" w:type="dxa"/>
              <w:left w:w="62" w:type="dxa"/>
              <w:bottom w:w="0" w:type="dxa"/>
              <w:right w:w="62" w:type="dxa"/>
            </w:tcMar>
          </w:tcPr>
          <w:p w:rsidR="00000000" w:rsidRPr="00CC7497" w:rsidP="00CC7497">
            <w:pPr>
              <w:pStyle w:val="ListBullet"/>
            </w:pPr>
            <w:r w:rsidRPr="00CC7497">
              <w:t>gloves</w:t>
            </w:r>
          </w:p>
          <w:p w:rsidR="00000000" w:rsidRPr="00CC7497" w:rsidP="00CC7497">
            <w:pPr>
              <w:pStyle w:val="ListBullet"/>
            </w:pPr>
            <w:r w:rsidRPr="00CC7497">
              <w:t>goggles</w:t>
            </w:r>
          </w:p>
          <w:p w:rsidR="00000000" w:rsidRPr="00CC7497" w:rsidP="00CC7497">
            <w:pPr>
              <w:pStyle w:val="ListBullet"/>
            </w:pPr>
            <w:r w:rsidRPr="00CC7497">
              <w:t>mask.</w:t>
            </w:r>
          </w:p>
          <w:p w:rsidR="00000000" w:rsidP="00CC7497">
            <w:pPr>
              <w:pStyle w:val="BodyText"/>
              <w:rPr>
                <w:lang w:val="en-NZ"/>
              </w:rPr>
            </w:pPr>
          </w:p>
        </w:tc>
      </w:tr>
      <w:tr w:rsidTr="00CC7497">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rPr>
                <w:rStyle w:val="BoldandItalics"/>
              </w:rPr>
              <w:t xml:space="preserve">Cleaners </w:t>
            </w:r>
            <w:r w:rsidRPr="00CC7497">
              <w:t xml:space="preserve">used must include one or more of the following: </w:t>
            </w:r>
          </w:p>
        </w:tc>
        <w:tc>
          <w:tcPr>
            <w:tcW w:w="6723" w:type="dxa"/>
            <w:tcBorders>
              <w:top w:val="nil"/>
              <w:left w:val="nil"/>
              <w:bottom w:val="nil"/>
              <w:right w:val="nil"/>
            </w:tcBorders>
            <w:tcMar>
              <w:top w:w="0" w:type="dxa"/>
              <w:left w:w="62" w:type="dxa"/>
              <w:bottom w:w="0" w:type="dxa"/>
              <w:right w:w="62" w:type="dxa"/>
            </w:tcMar>
          </w:tcPr>
          <w:p w:rsidR="00000000" w:rsidRPr="00CC7497" w:rsidP="00CC7497">
            <w:pPr>
              <w:pStyle w:val="ListBullet"/>
            </w:pPr>
            <w:r w:rsidRPr="00CC7497">
              <w:t>alcohol</w:t>
            </w:r>
          </w:p>
          <w:p w:rsidR="00000000" w:rsidRPr="00CC7497" w:rsidP="00CC7497">
            <w:pPr>
              <w:pStyle w:val="ListBullet"/>
            </w:pPr>
            <w:r w:rsidRPr="00CC7497">
              <w:t>garnet paper</w:t>
            </w:r>
          </w:p>
          <w:p w:rsidR="00000000" w:rsidRPr="00CC7497" w:rsidP="00CC7497">
            <w:pPr>
              <w:pStyle w:val="ListBullet"/>
            </w:pPr>
            <w:r w:rsidRPr="00CC7497">
              <w:t>methylated spirits</w:t>
            </w:r>
          </w:p>
          <w:p w:rsidR="00000000" w:rsidRPr="00CC7497" w:rsidP="00CC7497">
            <w:pPr>
              <w:pStyle w:val="ListBullet"/>
            </w:pPr>
            <w:r w:rsidRPr="00CC7497">
              <w:t>mineral turpentine</w:t>
            </w:r>
          </w:p>
          <w:p w:rsidR="00000000" w:rsidRPr="00CC7497" w:rsidP="00CC7497">
            <w:pPr>
              <w:pStyle w:val="ListBullet"/>
            </w:pPr>
            <w:r w:rsidRPr="00CC7497">
              <w:t>thinners</w:t>
            </w:r>
          </w:p>
          <w:p w:rsidR="00000000" w:rsidRPr="00CC7497" w:rsidP="00CC7497">
            <w:pPr>
              <w:pStyle w:val="ListBullet"/>
            </w:pPr>
            <w:r w:rsidRPr="00CC7497">
              <w:t>wax and grease remover</w:t>
            </w:r>
          </w:p>
          <w:p w:rsidR="00000000" w:rsidRPr="00CC7497" w:rsidP="00CC7497">
            <w:pPr>
              <w:pStyle w:val="ListBullet"/>
            </w:pPr>
            <w:r w:rsidRPr="00CC7497">
              <w:t>wet and dry sandpaper.</w:t>
            </w:r>
          </w:p>
          <w:p w:rsidR="00000000" w:rsidP="00CC7497">
            <w:pPr>
              <w:pStyle w:val="BodyText"/>
              <w:rPr>
                <w:lang w:val="en-NZ"/>
              </w:rPr>
            </w:pPr>
          </w:p>
        </w:tc>
      </w:tr>
      <w:tr w:rsidTr="00CC7497">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CC7497">
            <w:pPr>
              <w:pStyle w:val="BodyText"/>
              <w:rPr>
                <w:lang w:val="en-NZ"/>
              </w:rPr>
            </w:pPr>
            <w:r w:rsidRPr="00CC7497">
              <w:rPr>
                <w:rStyle w:val="BoldandItalics"/>
              </w:rPr>
              <w:t xml:space="preserve">Paint applicator </w:t>
            </w:r>
            <w:r w:rsidRPr="00CC7497">
              <w:t>must include:</w:t>
            </w:r>
          </w:p>
        </w:tc>
        <w:tc>
          <w:tcPr>
            <w:tcW w:w="6723" w:type="dxa"/>
            <w:tcBorders>
              <w:top w:val="nil"/>
              <w:left w:val="nil"/>
              <w:bottom w:val="nil"/>
              <w:right w:val="nil"/>
            </w:tcBorders>
            <w:tcMar>
              <w:top w:w="0" w:type="dxa"/>
              <w:left w:w="62" w:type="dxa"/>
              <w:bottom w:w="0" w:type="dxa"/>
              <w:right w:w="62" w:type="dxa"/>
            </w:tcMar>
          </w:tcPr>
          <w:p w:rsidR="00000000" w:rsidRPr="00CC7497" w:rsidP="00CC7497">
            <w:pPr>
              <w:pStyle w:val="ListBullet"/>
            </w:pPr>
            <w:r w:rsidRPr="00CC7497">
              <w:t>brushware</w:t>
            </w:r>
          </w:p>
          <w:p w:rsidR="00000000" w:rsidRPr="00CC7497" w:rsidP="00CC7497">
            <w:pPr>
              <w:pStyle w:val="ListBullet"/>
            </w:pPr>
            <w:r w:rsidRPr="00CC7497">
              <w:t>roller</w:t>
            </w:r>
          </w:p>
          <w:p w:rsidR="00000000" w:rsidRPr="00CC7497" w:rsidP="00CC7497">
            <w:pPr>
              <w:pStyle w:val="ListBullet"/>
            </w:pPr>
            <w:r w:rsidRPr="00CC7497">
              <w:t>spray gun.</w:t>
            </w:r>
          </w:p>
          <w:p w:rsidR="00000000" w:rsidRPr="00CC7497" w:rsidP="00CC7497">
            <w:pPr>
              <w:pStyle w:val="BodyText"/>
            </w:pPr>
          </w:p>
        </w:tc>
      </w:tr>
    </w:tbl>
    <w:p w:rsidR="00000000" w:rsidRPr="00CC7497" w:rsidP="00CC7497">
      <w:pPr>
        <w:pStyle w:val="BodyText"/>
      </w:pPr>
    </w:p>
    <w:p w:rsidR="00000000" w:rsidRPr="00CC7497" w:rsidP="00CC7497">
      <w:pPr>
        <w:pStyle w:val="AllowPageBreak"/>
      </w:pPr>
    </w:p>
    <w:p w:rsidR="00000000" w:rsidRPr="00CC7497" w:rsidP="00CC7497">
      <w:pPr>
        <w:pStyle w:val="Heading1"/>
      </w:pPr>
      <w:bookmarkStart w:id="9" w:name="O_832310"/>
      <w:bookmarkEnd w:id="9"/>
      <w:r w:rsidRPr="00CC7497">
        <w:t>Unit Mapping Information</w:t>
      </w:r>
    </w:p>
    <w:p w:rsidR="00000000" w:rsidRPr="00CC7497" w:rsidP="008B2298">
      <w:pPr>
        <w:pStyle w:val="BodyText"/>
      </w:pPr>
      <w:r w:rsidRPr="00CC7497">
        <w:t>CPCCSI2003A Prepare surfaces for signage</w:t>
      </w:r>
    </w:p>
    <w:p w:rsidR="00000000" w:rsidRPr="00CC7497" w:rsidP="00CC7497">
      <w:pPr>
        <w:pStyle w:val="Heading1"/>
      </w:pPr>
      <w:bookmarkStart w:id="10" w:name="O_832303"/>
      <w:bookmarkEnd w:id="10"/>
      <w:r w:rsidRPr="00CC7497">
        <w:t>Links</w:t>
      </w:r>
    </w:p>
    <w:p w:rsidR="00000000" w:rsidRPr="00CC7497" w:rsidP="008B2298">
      <w:pPr>
        <w:pStyle w:val="BodyText"/>
      </w:pPr>
      <w:r w:rsidRPr="00CC7497">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A1326B">
        <w:rPr>
          <w:rStyle w:val="Hyperlink"/>
        </w:rPr>
        <w:t>https://vetnet.gov.au/Pages/TrainingDocs.aspx?q=7e15fa6a-68b8-4097-b099-030a5569b1ad</w:t>
      </w:r>
      <w:r>
        <w:fldChar w:fldCharType="end"/>
      </w:r>
    </w:p>
    <w:p w:rsidR="00000000" w:rsidRPr="00CC7497" w:rsidP="008B2298">
      <w:pPr>
        <w:pStyle w:val="BodyText"/>
        <w:sectPr w:rsidSect="00CC7497">
          <w:headerReference w:type="default" r:id="rId10"/>
          <w:footerReference w:type="default" r:id="rId11"/>
          <w:pgSz w:w="11908" w:h="16833"/>
          <w:pgMar w:top="1702" w:right="1418" w:bottom="1702" w:left="1418" w:header="992" w:footer="992" w:gutter="0"/>
          <w:cols w:space="720"/>
          <w:noEndnote/>
          <w:docGrid w:linePitch="299"/>
        </w:sectPr>
      </w:pPr>
    </w:p>
    <w:p w:rsidR="00000000" w:rsidRPr="00CC7497" w:rsidP="00CC7497">
      <w:pPr>
        <w:pStyle w:val="SuperHeading"/>
      </w:pPr>
      <w:r w:rsidRPr="00CC7497">
        <w:t>Assessment Requirements for CPCCSG3016 Prepare surfaces for signs</w:t>
      </w:r>
    </w:p>
    <w:p w:rsidR="00000000" w:rsidRPr="00CC7497" w:rsidP="00CC7497">
      <w:pPr>
        <w:pStyle w:val="Heading1"/>
      </w:pPr>
      <w:bookmarkStart w:id="11" w:name="O_832305"/>
      <w:bookmarkEnd w:id="11"/>
      <w:r w:rsidRPr="00CC7497">
        <w:t>Modification History</w:t>
      </w:r>
    </w:p>
    <w:p w:rsidR="00000000" w:rsidRPr="00CC7497" w:rsidP="008B2298">
      <w:pPr>
        <w:pStyle w:val="BodyText"/>
      </w:pPr>
      <w:r w:rsidRPr="00CC7497">
        <w:t>Release 1.</w:t>
      </w:r>
    </w:p>
    <w:p w:rsidR="00000000" w:rsidRPr="00CC7497" w:rsidP="008B2298">
      <w:pPr>
        <w:pStyle w:val="BodyText"/>
      </w:pPr>
      <w:r w:rsidRPr="00CC7497">
        <w:t>This version first released with CPC Construction and Property Services Training Package Versio</w:t>
      </w:r>
      <w:r w:rsidRPr="00CC7497">
        <w:t>n 2.</w:t>
      </w:r>
    </w:p>
    <w:p w:rsidR="00000000" w:rsidRPr="00CC7497" w:rsidP="008B2298">
      <w:pPr>
        <w:pStyle w:val="BodyText"/>
      </w:pPr>
      <w:r w:rsidRPr="00CC7497">
        <w:t>Revised unit of competency. Replaces superseded equivalent CPCCSI2003A Prepare surfaces for signage.</w:t>
      </w:r>
    </w:p>
    <w:p w:rsidR="00000000" w:rsidRPr="00CC7497" w:rsidP="00CC7497">
      <w:pPr>
        <w:pStyle w:val="Heading1"/>
      </w:pPr>
      <w:bookmarkStart w:id="12" w:name="O_832308"/>
      <w:bookmarkEnd w:id="12"/>
      <w:r w:rsidRPr="00CC7497">
        <w:t>Performance Evidence</w:t>
      </w:r>
    </w:p>
    <w:p w:rsidR="00000000" w:rsidRPr="00CC7497" w:rsidP="008B2298">
      <w:pPr>
        <w:pStyle w:val="BodyText"/>
      </w:pPr>
      <w:r w:rsidRPr="00CC7497">
        <w:t>A person who demonstrates competency in this unit must satisfy all of the elements, performance criteria and foundation skills of this unit, and must safely prepare the following surfaces each measuring at least one square metre, in readiness for applicati</w:t>
      </w:r>
      <w:r w:rsidRPr="00CC7497">
        <w:t>on of signs:</w:t>
      </w:r>
    </w:p>
    <w:p w:rsidR="00000000" w:rsidRPr="00CC7497" w:rsidP="00CC7497">
      <w:pPr>
        <w:pStyle w:val="ListBullet"/>
      </w:pPr>
      <w:r w:rsidRPr="00CC7497">
        <w:t>brick wall</w:t>
      </w:r>
    </w:p>
    <w:p w:rsidR="00000000" w:rsidRPr="00CC7497" w:rsidP="00CC7497">
      <w:pPr>
        <w:pStyle w:val="ListBullet"/>
      </w:pPr>
      <w:r w:rsidRPr="00CC7497">
        <w:t>gyprock wall</w:t>
      </w:r>
    </w:p>
    <w:p w:rsidR="00000000" w:rsidRPr="00CC7497" w:rsidP="00CC7497">
      <w:pPr>
        <w:pStyle w:val="ListBullet"/>
      </w:pPr>
      <w:r w:rsidRPr="00CC7497">
        <w:t>metal</w:t>
      </w:r>
    </w:p>
    <w:p w:rsidR="00000000" w:rsidRPr="00CC7497" w:rsidP="00CC7497">
      <w:pPr>
        <w:pStyle w:val="ListBullet"/>
      </w:pPr>
      <w:r w:rsidRPr="00CC7497">
        <w:t>plastic.</w:t>
      </w:r>
    </w:p>
    <w:p w:rsidR="00000000" w:rsidRPr="00CC7497" w:rsidP="00CC7497">
      <w:pPr>
        <w:pStyle w:val="BodyText"/>
      </w:pPr>
    </w:p>
    <w:p w:rsidR="00000000" w:rsidRPr="00CC7497" w:rsidP="008B2298">
      <w:pPr>
        <w:pStyle w:val="BodyText"/>
      </w:pPr>
      <w:r w:rsidRPr="00CC7497">
        <w:t>In doing the above work, the person must:</w:t>
      </w:r>
    </w:p>
    <w:p w:rsidR="00000000" w:rsidRPr="00CC7497" w:rsidP="00CC7497">
      <w:pPr>
        <w:pStyle w:val="ListBullet"/>
      </w:pPr>
      <w:r w:rsidRPr="00CC7497">
        <w:t>use appropriate sanding and cleaning techniques for each surface</w:t>
      </w:r>
    </w:p>
    <w:p w:rsidR="00000000" w:rsidRPr="00CC7497" w:rsidP="00CC7497">
      <w:pPr>
        <w:pStyle w:val="ListBullet"/>
      </w:pPr>
      <w:r w:rsidRPr="00CC7497">
        <w:t>select, prepare and apply correct undercoat and primer for a painted surface</w:t>
      </w:r>
    </w:p>
    <w:p w:rsidR="00000000" w:rsidRPr="00CC7497" w:rsidP="00CC7497">
      <w:pPr>
        <w:pStyle w:val="ListBullet"/>
      </w:pPr>
      <w:r w:rsidRPr="00CC7497">
        <w:t>apply paint using</w:t>
      </w:r>
      <w:r w:rsidRPr="00CC7497">
        <w:t xml:space="preserve"> each of following application methods:</w:t>
      </w:r>
    </w:p>
    <w:p w:rsidR="00000000" w:rsidRPr="00CC7497" w:rsidP="00CC7497">
      <w:pPr>
        <w:pStyle w:val="ListBullet2"/>
      </w:pPr>
      <w:r w:rsidRPr="00CC7497">
        <w:t>brush paint</w:t>
      </w:r>
    </w:p>
    <w:p w:rsidR="00000000" w:rsidRPr="00CC7497" w:rsidP="00CC7497">
      <w:pPr>
        <w:pStyle w:val="ListBullet2"/>
      </w:pPr>
      <w:r w:rsidRPr="00CC7497">
        <w:t>roll paint</w:t>
      </w:r>
    </w:p>
    <w:p w:rsidR="00000000" w:rsidRPr="00CC7497" w:rsidP="00CC7497">
      <w:pPr>
        <w:pStyle w:val="ListBullet2"/>
      </w:pPr>
      <w:r w:rsidRPr="00CC7497">
        <w:t>spray paint</w:t>
      </w:r>
    </w:p>
    <w:p w:rsidR="00000000" w:rsidRPr="00CC7497" w:rsidP="00CC7497">
      <w:pPr>
        <w:pStyle w:val="ListBullet"/>
      </w:pPr>
      <w:r w:rsidRPr="00CC7497">
        <w:t>identify and rectify defects in paint application.</w:t>
      </w:r>
    </w:p>
    <w:p w:rsidR="00000000" w:rsidRPr="00CC7497" w:rsidP="00CC7497">
      <w:pPr>
        <w:pStyle w:val="AllowPageBreak"/>
      </w:pPr>
    </w:p>
    <w:p w:rsidR="00000000" w:rsidRPr="00CC7497" w:rsidP="00CC7497">
      <w:pPr>
        <w:pStyle w:val="Heading1"/>
      </w:pPr>
      <w:bookmarkStart w:id="13" w:name="O_832307"/>
      <w:bookmarkEnd w:id="13"/>
      <w:r w:rsidRPr="00CC7497">
        <w:t>Knowledge Evidence</w:t>
      </w:r>
    </w:p>
    <w:p w:rsidR="00000000" w:rsidRPr="00CC7497" w:rsidP="008B2298">
      <w:pPr>
        <w:pStyle w:val="BodyText"/>
      </w:pPr>
      <w:r w:rsidRPr="00CC7497">
        <w:t>A person demonstrating competency in this unit must demonstrate knowledge of:</w:t>
      </w:r>
    </w:p>
    <w:p w:rsidR="00000000" w:rsidRPr="00CC7497" w:rsidP="00CC7497">
      <w:pPr>
        <w:pStyle w:val="ListBullet"/>
      </w:pPr>
      <w:r w:rsidRPr="00CC7497">
        <w:t>range of coating types and their characteristics, including:</w:t>
      </w:r>
    </w:p>
    <w:p w:rsidR="00000000" w:rsidRPr="00CC7497" w:rsidP="00CC7497">
      <w:pPr>
        <w:pStyle w:val="ListBullet2"/>
      </w:pPr>
      <w:r w:rsidRPr="00CC7497">
        <w:t>acrylic lacquers and their thinner or reducer</w:t>
      </w:r>
    </w:p>
    <w:p w:rsidR="00000000" w:rsidRPr="00CC7497" w:rsidP="00CC7497">
      <w:pPr>
        <w:pStyle w:val="ListBullet2"/>
      </w:pPr>
      <w:r w:rsidRPr="00CC7497">
        <w:t>clear finishes and their thinner</w:t>
      </w:r>
    </w:p>
    <w:p w:rsidR="00000000" w:rsidRPr="00CC7497" w:rsidP="00CC7497">
      <w:pPr>
        <w:pStyle w:val="ListBullet2"/>
      </w:pPr>
      <w:r w:rsidRPr="00CC7497">
        <w:t>oil-based paints and their solvents</w:t>
      </w:r>
    </w:p>
    <w:p w:rsidR="00000000" w:rsidRPr="00CC7497" w:rsidP="00CC7497">
      <w:pPr>
        <w:pStyle w:val="ListBullet2"/>
      </w:pPr>
      <w:r w:rsidRPr="00CC7497">
        <w:t>spraying enamel and its thinner</w:t>
      </w:r>
    </w:p>
    <w:p w:rsidR="00000000" w:rsidRPr="00CC7497" w:rsidP="00CC7497">
      <w:pPr>
        <w:pStyle w:val="ListBullet2"/>
      </w:pPr>
      <w:r w:rsidRPr="00CC7497">
        <w:t>two-pack paints and their thinner</w:t>
      </w:r>
    </w:p>
    <w:p w:rsidR="00000000" w:rsidRPr="00CC7497" w:rsidP="00CC7497">
      <w:pPr>
        <w:pStyle w:val="ListBullet2"/>
      </w:pPr>
      <w:r w:rsidRPr="00CC7497">
        <w:t>water-based p</w:t>
      </w:r>
      <w:r w:rsidRPr="00CC7497">
        <w:t>aints and their thinner</w:t>
      </w:r>
    </w:p>
    <w:p w:rsidR="00000000" w:rsidRPr="00CC7497" w:rsidP="00CC7497">
      <w:pPr>
        <w:pStyle w:val="ListBullet"/>
      </w:pPr>
      <w:r w:rsidRPr="00CC7497">
        <w:t>range of undercoats and primers and their application to different surfaces, including:</w:t>
      </w:r>
    </w:p>
    <w:p w:rsidR="00000000" w:rsidRPr="00CC7497" w:rsidP="00CC7497">
      <w:pPr>
        <w:pStyle w:val="ListBullet2"/>
      </w:pPr>
      <w:r w:rsidRPr="00CC7497">
        <w:t>brick</w:t>
      </w:r>
    </w:p>
    <w:p w:rsidR="00000000" w:rsidRPr="00CC7497" w:rsidP="00CC7497">
      <w:pPr>
        <w:pStyle w:val="ListBullet2"/>
      </w:pPr>
      <w:r w:rsidRPr="00CC7497">
        <w:t>plasterboard</w:t>
      </w:r>
    </w:p>
    <w:p w:rsidR="00000000" w:rsidRPr="00CC7497" w:rsidP="00CC7497">
      <w:pPr>
        <w:pStyle w:val="ListBullet2"/>
      </w:pPr>
      <w:r w:rsidRPr="00CC7497">
        <w:t>metals</w:t>
      </w:r>
    </w:p>
    <w:p w:rsidR="00000000" w:rsidRPr="00CC7497" w:rsidP="00CC7497">
      <w:pPr>
        <w:pStyle w:val="ListBullet2"/>
      </w:pPr>
      <w:r w:rsidRPr="00CC7497">
        <w:t>plastics</w:t>
      </w:r>
    </w:p>
    <w:p w:rsidR="00000000" w:rsidRPr="00CC7497" w:rsidP="00CC7497">
      <w:pPr>
        <w:pStyle w:val="ListBullet"/>
      </w:pPr>
      <w:r w:rsidRPr="00CC7497">
        <w:t>purpose and application of the following when preparing surfaces for signs:</w:t>
      </w:r>
    </w:p>
    <w:p w:rsidR="00000000" w:rsidRPr="00CC7497" w:rsidP="00CC7497">
      <w:pPr>
        <w:pStyle w:val="ListBullet2"/>
      </w:pPr>
      <w:r w:rsidRPr="00CC7497">
        <w:t>manufacturer specifications relating to paint and other products used in surface preparation</w:t>
      </w:r>
    </w:p>
    <w:p w:rsidR="00000000" w:rsidRPr="00CC7497" w:rsidP="00CC7497">
      <w:pPr>
        <w:pStyle w:val="ListBullet2"/>
      </w:pPr>
      <w:r w:rsidRPr="00CC7497">
        <w:t>safety data sheets (SDS)</w:t>
      </w:r>
    </w:p>
    <w:p w:rsidR="00000000" w:rsidRPr="00CC7497" w:rsidP="00CC7497">
      <w:pPr>
        <w:pStyle w:val="ListBullet2"/>
      </w:pPr>
      <w:r w:rsidRPr="00CC7497">
        <w:t>safe work method statements (SWMS)</w:t>
      </w:r>
    </w:p>
    <w:p w:rsidR="00000000" w:rsidRPr="00CC7497" w:rsidP="00CC7497">
      <w:pPr>
        <w:pStyle w:val="ListBullet"/>
      </w:pPr>
      <w:r w:rsidRPr="00CC7497">
        <w:t>safety and environmental legislation, regulations and codes of practice applicable to working with pai</w:t>
      </w:r>
      <w:r w:rsidRPr="00CC7497">
        <w:t xml:space="preserve">nt and other products used in surface preparation </w:t>
      </w:r>
    </w:p>
    <w:p w:rsidR="00000000" w:rsidRPr="00CC7497" w:rsidP="00CC7497">
      <w:pPr>
        <w:pStyle w:val="ListBullet"/>
      </w:pPr>
      <w:r w:rsidRPr="00CC7497">
        <w:t>statutory and regulatory authority requirements, particularly those relating to:</w:t>
      </w:r>
    </w:p>
    <w:p w:rsidR="00000000" w:rsidRPr="00CC7497" w:rsidP="00CC7497">
      <w:pPr>
        <w:pStyle w:val="ListBullet2"/>
      </w:pPr>
      <w:r w:rsidRPr="00CC7497">
        <w:t>removal of waste products</w:t>
      </w:r>
    </w:p>
    <w:p w:rsidR="00000000" w:rsidRPr="00CC7497" w:rsidP="00CC7497">
      <w:pPr>
        <w:pStyle w:val="ListBullet2"/>
      </w:pPr>
      <w:r w:rsidRPr="00CC7497">
        <w:t>storage of chemicals.</w:t>
      </w:r>
    </w:p>
    <w:p w:rsidR="00000000" w:rsidRPr="00CC7497" w:rsidP="00CC7497">
      <w:pPr>
        <w:pStyle w:val="AllowPageBreak"/>
      </w:pPr>
    </w:p>
    <w:p w:rsidR="00000000" w:rsidRPr="00CC7497" w:rsidP="00CC7497">
      <w:pPr>
        <w:pStyle w:val="Heading1"/>
      </w:pPr>
      <w:bookmarkStart w:id="14" w:name="O_832306"/>
      <w:bookmarkEnd w:id="14"/>
      <w:r w:rsidRPr="00CC7497">
        <w:t>Assessment Conditions</w:t>
      </w:r>
    </w:p>
    <w:p w:rsidR="00000000" w:rsidRPr="00CC7497" w:rsidP="008B2298">
      <w:pPr>
        <w:pStyle w:val="BodyText"/>
      </w:pPr>
      <w:r w:rsidRPr="00CC7497">
        <w:t>Suitable assessment of performance requires:</w:t>
      </w:r>
    </w:p>
    <w:p w:rsidR="00000000" w:rsidRPr="00CC7497" w:rsidP="00CC7497">
      <w:pPr>
        <w:pStyle w:val="ListBullet"/>
      </w:pPr>
      <w:r w:rsidRPr="00CC7497">
        <w:t>equipment:</w:t>
      </w:r>
    </w:p>
    <w:p w:rsidR="00000000" w:rsidRPr="00CC7497" w:rsidP="00CC7497">
      <w:pPr>
        <w:pStyle w:val="ListBullet2"/>
      </w:pPr>
      <w:r w:rsidRPr="00CC7497">
        <w:t>air compressor</w:t>
      </w:r>
    </w:p>
    <w:p w:rsidR="00000000" w:rsidRPr="00CC7497" w:rsidP="00CC7497">
      <w:pPr>
        <w:pStyle w:val="ListBullet2"/>
      </w:pPr>
      <w:r w:rsidRPr="00CC7497">
        <w:t>brushware</w:t>
      </w:r>
    </w:p>
    <w:p w:rsidR="00000000" w:rsidRPr="00CC7497" w:rsidP="00CC7497">
      <w:pPr>
        <w:pStyle w:val="ListBullet2"/>
      </w:pPr>
      <w:r w:rsidRPr="00CC7497">
        <w:t>ladders or other equipment used to provide safe access to work area</w:t>
      </w:r>
    </w:p>
    <w:p w:rsidR="00000000" w:rsidRPr="00CC7497" w:rsidP="00CC7497">
      <w:pPr>
        <w:pStyle w:val="ListBullet2"/>
      </w:pPr>
      <w:r w:rsidRPr="00CC7497">
        <w:t>roller and roller sleeve</w:t>
      </w:r>
    </w:p>
    <w:p w:rsidR="00000000" w:rsidRPr="00CC7497" w:rsidP="00CC7497">
      <w:pPr>
        <w:pStyle w:val="ListBullet2"/>
      </w:pPr>
      <w:r w:rsidRPr="00CC7497">
        <w:t>spray gun</w:t>
      </w:r>
    </w:p>
    <w:p w:rsidR="00000000" w:rsidRPr="00CC7497" w:rsidP="00CC7497">
      <w:pPr>
        <w:pStyle w:val="ListBullet"/>
      </w:pPr>
      <w:r w:rsidRPr="00CC7497">
        <w:t>materials:</w:t>
      </w:r>
    </w:p>
    <w:p w:rsidR="00000000" w:rsidRPr="00CC7497" w:rsidP="00CC7497">
      <w:pPr>
        <w:pStyle w:val="ListBullet2"/>
      </w:pPr>
      <w:r w:rsidRPr="00CC7497">
        <w:t>cleaners as listed in the range of conditions</w:t>
      </w:r>
    </w:p>
    <w:p w:rsidR="00000000" w:rsidRPr="00CC7497" w:rsidP="00CC7497">
      <w:pPr>
        <w:pStyle w:val="ListBullet2"/>
      </w:pPr>
      <w:r w:rsidRPr="00CC7497">
        <w:t>primers app</w:t>
      </w:r>
      <w:r w:rsidRPr="00CC7497">
        <w:t>ropriate to the surface</w:t>
      </w:r>
    </w:p>
    <w:p w:rsidR="00000000" w:rsidRPr="00CC7497" w:rsidP="00CC7497">
      <w:pPr>
        <w:pStyle w:val="ListBullet2"/>
      </w:pPr>
      <w:r w:rsidRPr="00CC7497">
        <w:t>undercoats appropriate to the surface</w:t>
      </w:r>
    </w:p>
    <w:p w:rsidR="00000000" w:rsidRPr="00CC7497" w:rsidP="00CC7497">
      <w:pPr>
        <w:pStyle w:val="ListBullet"/>
      </w:pPr>
      <w:r w:rsidRPr="00CC7497">
        <w:t>specifications:</w:t>
      </w:r>
    </w:p>
    <w:p w:rsidR="00000000" w:rsidRPr="00CC7497" w:rsidP="00CC7497">
      <w:pPr>
        <w:pStyle w:val="ListBullet2"/>
      </w:pPr>
      <w:r w:rsidRPr="00CC7497">
        <w:t>range of surfaces to prepare as specified in the performance evidence</w:t>
      </w:r>
    </w:p>
    <w:p w:rsidR="00000000" w:rsidRPr="00CC7497" w:rsidP="00CC7497">
      <w:pPr>
        <w:pStyle w:val="ListBullet2"/>
      </w:pPr>
      <w:r w:rsidRPr="00CC7497">
        <w:t>work instructions or drawings appropriate to the task</w:t>
      </w:r>
    </w:p>
    <w:p w:rsidR="00000000" w:rsidRPr="00CC7497" w:rsidP="00CC7497">
      <w:pPr>
        <w:pStyle w:val="ListBullet"/>
      </w:pPr>
      <w:r w:rsidRPr="00CC7497">
        <w:t>physical conditions:</w:t>
      </w:r>
    </w:p>
    <w:p w:rsidR="00000000" w:rsidRPr="00CC7497" w:rsidP="00CC7497">
      <w:pPr>
        <w:pStyle w:val="ListBullet2"/>
      </w:pPr>
      <w:r w:rsidRPr="00CC7497">
        <w:t xml:space="preserve">work may be conducted </w:t>
      </w:r>
      <w:r w:rsidRPr="00CC7497">
        <w:t>indoors and outdoors</w:t>
      </w:r>
    </w:p>
    <w:p w:rsidR="00000000" w:rsidRPr="00CC7497" w:rsidP="00CC7497">
      <w:pPr>
        <w:pStyle w:val="ListBullet"/>
      </w:pPr>
      <w:r w:rsidRPr="00CC7497">
        <w:t>relationship with client:</w:t>
      </w:r>
    </w:p>
    <w:p w:rsidR="00000000" w:rsidRPr="00CC7497" w:rsidP="00CC7497">
      <w:pPr>
        <w:pStyle w:val="ListBullet2"/>
      </w:pPr>
      <w:r w:rsidRPr="00CC7497">
        <w:t>sufficient to check and confirm job requirements</w:t>
      </w:r>
    </w:p>
    <w:p w:rsidR="00000000" w:rsidRPr="00CC7497" w:rsidP="00CC7497">
      <w:pPr>
        <w:pStyle w:val="ListBullet"/>
      </w:pPr>
      <w:r w:rsidRPr="00CC7497">
        <w:t>relationships with team members:</w:t>
      </w:r>
    </w:p>
    <w:p w:rsidR="00000000" w:rsidRPr="00CC7497" w:rsidP="00CC7497">
      <w:pPr>
        <w:pStyle w:val="ListBullet2"/>
      </w:pPr>
      <w:r w:rsidRPr="00CC7497">
        <w:t>work may be conducted alone or with others</w:t>
      </w:r>
    </w:p>
    <w:p w:rsidR="00000000" w:rsidRPr="00CC7497" w:rsidP="00CC7497">
      <w:pPr>
        <w:pStyle w:val="ListBullet"/>
      </w:pPr>
      <w:r w:rsidRPr="00CC7497">
        <w:t>timeframe:</w:t>
      </w:r>
    </w:p>
    <w:p w:rsidR="00000000" w:rsidRPr="00CC7497" w:rsidP="00CC7497">
      <w:pPr>
        <w:pStyle w:val="ListBullet2"/>
      </w:pPr>
      <w:r w:rsidRPr="00CC7497">
        <w:t>according to job requirements.</w:t>
      </w:r>
    </w:p>
    <w:p w:rsidR="00000000" w:rsidRPr="00CC7497" w:rsidP="00CC7497">
      <w:pPr>
        <w:pStyle w:val="BodyText"/>
      </w:pPr>
    </w:p>
    <w:p w:rsidR="00000000" w:rsidRPr="00CC7497" w:rsidP="008B2298">
      <w:pPr>
        <w:pStyle w:val="Heading4"/>
      </w:pPr>
      <w:r w:rsidRPr="00CC7497">
        <w:rPr>
          <w:rStyle w:val="SpecialBold"/>
        </w:rPr>
        <w:t>Assessor requirements</w:t>
      </w:r>
    </w:p>
    <w:p w:rsidR="00000000" w:rsidRPr="00CC7497" w:rsidP="008B2298">
      <w:pPr>
        <w:pStyle w:val="BodyText"/>
      </w:pPr>
      <w:r w:rsidRPr="00CC7497">
        <w:t xml:space="preserve">As a minimum, assessors must satisfy the assessor requirements in the Standards for Registered Training Organisations (RTOs) current at the time of assessment. </w:t>
      </w:r>
    </w:p>
    <w:p w:rsidR="00000000" w:rsidRPr="00CC7497" w:rsidP="00CC7497">
      <w:pPr>
        <w:pStyle w:val="Heading1"/>
      </w:pPr>
      <w:bookmarkStart w:id="15" w:name="O_832304"/>
      <w:bookmarkEnd w:id="15"/>
      <w:r w:rsidRPr="00CC7497">
        <w:t>Links</w:t>
      </w:r>
    </w:p>
    <w:p w:rsidR="00000000" w:rsidRPr="00CC7497" w:rsidP="008B2298">
      <w:pPr>
        <w:pStyle w:val="BodyText"/>
      </w:pPr>
      <w:r w:rsidRPr="00CC7497">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A1326B">
        <w:rPr>
          <w:rStyle w:val="Hyperlink"/>
        </w:rPr>
        <w:t>https://vetnet.gov.au/Pages/TrainingDocs.aspx?q=7e15fa6a-68b8-4097-b099-030a5569b1ad</w:t>
      </w:r>
      <w:r>
        <w:fldChar w:fldCharType="end"/>
      </w:r>
    </w:p>
    <w:p w:rsidR="00000000" w:rsidRPr="00CC7497" w:rsidP="00CC7497"/>
    <w:sectPr w:rsidSect="00CC74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4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497" w:rsidRPr="008B2298" w:rsidP="008B22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4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298" w:rsidP="00CC74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B2298" w:rsidP="00CC74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B2298" w:rsidP="00CC74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497" w:rsidP="00CC7497">
    <w:pPr>
      <w:pStyle w:val="Footer"/>
      <w:framePr w:wrap="around"/>
    </w:pPr>
    <w:r>
      <w:fldChar w:fldCharType="begin"/>
    </w:r>
    <w:r>
      <w:instrText xml:space="preserve"> DOCPROPERTY  Subject  \* MERGEFORMAT </w:instrText>
    </w:r>
    <w:r>
      <w:fldChar w:fldCharType="separate"/>
    </w:r>
    <w:r w:rsidR="008B2298">
      <w:t>Approved</w:t>
    </w:r>
    <w:r w:rsidR="008B2298">
      <w:fldChar w:fldCharType="end"/>
    </w:r>
    <w:r>
      <w:tab/>
      <w:t xml:space="preserve">Page </w:t>
    </w:r>
    <w:r>
      <w:fldChar w:fldCharType="begin"/>
    </w:r>
    <w:r>
      <w:instrText xml:space="preserve"> PAGE  \* Arabic  \* MERGEFORMAT </w:instrText>
    </w:r>
    <w:r>
      <w:fldChar w:fldCharType="separate"/>
    </w:r>
    <w:r w:rsidR="008B229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2298">
      <w:rPr>
        <w:noProof/>
      </w:rPr>
      <w:t>6</w:t>
    </w:r>
    <w:r>
      <w:rPr>
        <w:noProof/>
      </w:rPr>
      <w:fldChar w:fldCharType="end"/>
    </w:r>
  </w:p>
  <w:p w:rsidR="00CC7497" w:rsidP="00CC7497">
    <w:pPr>
      <w:pStyle w:val="Footer"/>
      <w:framePr w:wrap="around"/>
    </w:pPr>
    <w:r>
      <w:t xml:space="preserve">© Commonwealth of Australia, </w:t>
    </w:r>
    <w:r>
      <w:fldChar w:fldCharType="begin"/>
    </w:r>
    <w:r>
      <w:instrText xml:space="preserve"> DATE  \@ "yyyy"  \* MERGEFORMAT </w:instrText>
    </w:r>
    <w:r>
      <w:fldChar w:fldCharType="separate"/>
    </w:r>
    <w:r w:rsidR="008B2298">
      <w:rPr>
        <w:noProof/>
      </w:rPr>
      <w:t>2025</w:t>
    </w:r>
    <w:r>
      <w:fldChar w:fldCharType="end"/>
    </w:r>
    <w:r>
      <w:tab/>
    </w:r>
    <w:r>
      <w:fldChar w:fldCharType="begin"/>
    </w:r>
    <w:r>
      <w:instrText xml:space="preserve"> DOCPROPERTY  Author  \* MERGEFORMAT </w:instrText>
    </w:r>
    <w:r>
      <w:fldChar w:fldCharType="separate"/>
    </w:r>
    <w:r w:rsidR="008B2298">
      <w:t>BuildSkills Australia</w:t>
    </w:r>
    <w:r w:rsidR="008B2298">
      <w:fldChar w:fldCharType="end"/>
    </w:r>
  </w:p>
  <w:p w:rsidR="00CC7497" w:rsidP="00CC74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4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2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7497" w:rsidRPr="008B2298" w:rsidP="008B22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4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298" w:rsidRPr="002D2AF8" w:rsidP="00CC7497">
    <w:pPr>
      <w:pStyle w:val="Header"/>
      <w:framePr w:wrap="around"/>
    </w:pPr>
    <w:r>
      <w:fldChar w:fldCharType="begin"/>
    </w:r>
    <w:r>
      <w:instrText xml:space="preserve"> TITLE   \* MERGEFORMAT </w:instrText>
    </w:r>
    <w:r>
      <w:fldChar w:fldCharType="separate"/>
    </w:r>
    <w:r>
      <w:t>CPCCSG3016 Prepare surfaces for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B2298" w:rsidP="00CC74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497" w:rsidRPr="002D2AF8" w:rsidP="00CC7497">
    <w:pPr>
      <w:pStyle w:val="Header"/>
      <w:framePr w:wrap="around"/>
    </w:pPr>
    <w:r>
      <w:fldChar w:fldCharType="begin"/>
    </w:r>
    <w:r>
      <w:instrText xml:space="preserve"> TITLE   \* MERGEFORMAT </w:instrText>
    </w:r>
    <w:r>
      <w:fldChar w:fldCharType="separate"/>
    </w:r>
    <w:r w:rsidR="008B2298">
      <w:t>CPCCSG3016 Prepare surfaces for signs</w:t>
    </w:r>
    <w:r w:rsidR="008B2298">
      <w:fldChar w:fldCharType="end"/>
    </w:r>
    <w:r>
      <w:tab/>
      <w:t xml:space="preserve">Date this document was generated: </w:t>
    </w:r>
    <w:r>
      <w:fldChar w:fldCharType="begin"/>
    </w:r>
    <w:r>
      <w:instrText xml:space="preserve"> CREATEDATE  \@ "d MMMM yyyy"  \* MERGEFORMAT </w:instrText>
    </w:r>
    <w:r>
      <w:fldChar w:fldCharType="separate"/>
    </w:r>
    <w:r w:rsidR="008B2298">
      <w:rPr>
        <w:noProof/>
      </w:rPr>
      <w:t>1 March 2025</w:t>
    </w:r>
    <w:r>
      <w:fldChar w:fldCharType="end"/>
    </w:r>
  </w:p>
  <w:p w:rsidR="00CC7497" w:rsidP="00CC74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16BA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E424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5A4D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4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7497"/>
    <w:pPr>
      <w:spacing w:before="360" w:after="60"/>
      <w:outlineLvl w:val="0"/>
    </w:pPr>
    <w:rPr>
      <w:sz w:val="32"/>
    </w:rPr>
  </w:style>
  <w:style w:type="paragraph" w:styleId="Heading2">
    <w:name w:val="heading 2"/>
    <w:basedOn w:val="HeadingBase"/>
    <w:next w:val="BodyText"/>
    <w:link w:val="Heading2Char"/>
    <w:qFormat/>
    <w:rsid w:val="00CC7497"/>
    <w:pPr>
      <w:keepLines/>
      <w:spacing w:before="240" w:after="120"/>
      <w:outlineLvl w:val="1"/>
    </w:pPr>
    <w:rPr>
      <w:sz w:val="28"/>
      <w:szCs w:val="40"/>
    </w:rPr>
  </w:style>
  <w:style w:type="paragraph" w:styleId="Heading3">
    <w:name w:val="heading 3"/>
    <w:basedOn w:val="HeadingBase"/>
    <w:next w:val="BodyText"/>
    <w:link w:val="Heading3Char"/>
    <w:qFormat/>
    <w:rsid w:val="00CC7497"/>
    <w:pPr>
      <w:spacing w:before="180" w:after="120"/>
      <w:outlineLvl w:val="2"/>
    </w:pPr>
    <w:rPr>
      <w:spacing w:val="-10"/>
      <w:kern w:val="32"/>
    </w:rPr>
  </w:style>
  <w:style w:type="paragraph" w:styleId="Heading4">
    <w:name w:val="heading 4"/>
    <w:basedOn w:val="HeadingBase"/>
    <w:next w:val="BodyText"/>
    <w:link w:val="Heading4Char"/>
    <w:qFormat/>
    <w:rsid w:val="00CC7497"/>
    <w:pPr>
      <w:spacing w:before="160" w:after="120"/>
      <w:outlineLvl w:val="3"/>
    </w:pPr>
    <w:rPr>
      <w:sz w:val="22"/>
    </w:rPr>
  </w:style>
  <w:style w:type="paragraph" w:styleId="Heading5">
    <w:name w:val="heading 5"/>
    <w:basedOn w:val="HeadingBase"/>
    <w:next w:val="Normal"/>
    <w:link w:val="Heading5Char"/>
    <w:qFormat/>
    <w:rsid w:val="00CC7497"/>
    <w:pPr>
      <w:spacing w:before="80"/>
      <w:outlineLvl w:val="4"/>
    </w:pPr>
    <w:rPr>
      <w:color w:val="918585"/>
      <w:sz w:val="20"/>
    </w:rPr>
  </w:style>
  <w:style w:type="paragraph" w:styleId="Heading6">
    <w:name w:val="heading 6"/>
    <w:basedOn w:val="HeadingBase"/>
    <w:next w:val="Normal"/>
    <w:link w:val="Heading6Char"/>
    <w:qFormat/>
    <w:rsid w:val="00CC7497"/>
    <w:pPr>
      <w:spacing w:before="60"/>
      <w:outlineLvl w:val="5"/>
    </w:pPr>
    <w:rPr>
      <w:color w:val="918585"/>
      <w:sz w:val="20"/>
    </w:rPr>
  </w:style>
  <w:style w:type="paragraph" w:styleId="Heading7">
    <w:name w:val="heading 7"/>
    <w:basedOn w:val="Normal"/>
    <w:next w:val="Normal"/>
    <w:link w:val="Heading7Char"/>
    <w:qFormat/>
    <w:rsid w:val="00CC7497"/>
    <w:pPr>
      <w:ind w:left="720"/>
      <w:outlineLvl w:val="6"/>
    </w:pPr>
    <w:rPr>
      <w:i/>
    </w:rPr>
  </w:style>
  <w:style w:type="paragraph" w:styleId="Heading8">
    <w:name w:val="heading 8"/>
    <w:basedOn w:val="Normal"/>
    <w:next w:val="Normal"/>
    <w:link w:val="Heading8Char"/>
    <w:qFormat/>
    <w:rsid w:val="00CC7497"/>
    <w:pPr>
      <w:ind w:left="720"/>
      <w:outlineLvl w:val="7"/>
    </w:pPr>
    <w:rPr>
      <w:i/>
    </w:rPr>
  </w:style>
  <w:style w:type="paragraph" w:styleId="Heading9">
    <w:name w:val="heading 9"/>
    <w:basedOn w:val="Normal"/>
    <w:next w:val="Normal"/>
    <w:link w:val="Heading9Char"/>
    <w:qFormat/>
    <w:rsid w:val="00CC7497"/>
    <w:pPr>
      <w:ind w:left="720"/>
      <w:outlineLvl w:val="8"/>
    </w:pPr>
    <w:rPr>
      <w:i/>
    </w:rPr>
  </w:style>
  <w:style w:type="character" w:default="1" w:styleId="DefaultParagraphFont">
    <w:name w:val="Default Paragraph Font"/>
    <w:uiPriority w:val="1"/>
    <w:unhideWhenUsed/>
    <w:rsid w:val="00CC74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7497"/>
  </w:style>
  <w:style w:type="character" w:customStyle="1" w:styleId="Heading1Char">
    <w:name w:val="Heading 1 Char"/>
    <w:basedOn w:val="DefaultParagraphFont"/>
    <w:link w:val="Heading1"/>
    <w:rsid w:val="00CC7497"/>
    <w:rPr>
      <w:rFonts w:ascii="Times New Roman" w:eastAsia="Times New Roman" w:hAnsi="Times New Roman" w:cs="Times New Roman"/>
      <w:b/>
      <w:sz w:val="32"/>
      <w:szCs w:val="20"/>
      <w:lang w:eastAsia="en-US"/>
    </w:rPr>
  </w:style>
  <w:style w:type="paragraph" w:styleId="BodyText">
    <w:name w:val="Body Text"/>
    <w:basedOn w:val="Normal"/>
    <w:link w:val="BodyTextChar"/>
    <w:rsid w:val="00CC74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7497"/>
    <w:rPr>
      <w:rFonts w:ascii="Times New Roman" w:eastAsia="Times New Roman" w:hAnsi="Times New Roman" w:cs="Times New Roman"/>
      <w:sz w:val="24"/>
      <w:lang w:eastAsia="en-US"/>
    </w:rPr>
  </w:style>
  <w:style w:type="paragraph" w:styleId="ListBullet">
    <w:name w:val="List Bullet"/>
    <w:basedOn w:val="List"/>
    <w:rsid w:val="00CC7497"/>
    <w:pPr>
      <w:numPr>
        <w:numId w:val="12"/>
      </w:numPr>
      <w:tabs>
        <w:tab w:val="clear" w:pos="340"/>
      </w:tabs>
      <w:spacing w:before="40" w:after="40"/>
    </w:pPr>
  </w:style>
  <w:style w:type="character" w:customStyle="1" w:styleId="SpecialBold">
    <w:name w:val="Special Bold"/>
    <w:basedOn w:val="DefaultParagraphFont"/>
    <w:rsid w:val="00CC7497"/>
    <w:rPr>
      <w:b/>
      <w:spacing w:val="0"/>
    </w:rPr>
  </w:style>
  <w:style w:type="paragraph" w:styleId="ListBullet2">
    <w:name w:val="List Bullet 2"/>
    <w:basedOn w:val="List2"/>
    <w:rsid w:val="00CC7497"/>
    <w:pPr>
      <w:numPr>
        <w:numId w:val="13"/>
      </w:numPr>
      <w:tabs>
        <w:tab w:val="clear" w:pos="680"/>
      </w:tabs>
    </w:pPr>
  </w:style>
  <w:style w:type="paragraph" w:customStyle="1" w:styleId="SuperHeading">
    <w:name w:val="SuperHeading"/>
    <w:basedOn w:val="Normal"/>
    <w:rsid w:val="00CC7497"/>
    <w:pPr>
      <w:spacing w:before="240" w:after="120"/>
      <w:outlineLvl w:val="0"/>
    </w:pPr>
    <w:rPr>
      <w:rFonts w:ascii="Times New Roman" w:hAnsi="Times New Roman"/>
      <w:b/>
      <w:sz w:val="32"/>
    </w:rPr>
  </w:style>
  <w:style w:type="paragraph" w:customStyle="1" w:styleId="AllowPageBreak">
    <w:name w:val="AllowPageBreak"/>
    <w:rsid w:val="00CC74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C7497"/>
    <w:rPr>
      <w:b/>
      <w:i/>
      <w:u w:val="none"/>
    </w:rPr>
  </w:style>
  <w:style w:type="character" w:customStyle="1" w:styleId="Heading2Char">
    <w:name w:val="Heading 2 Char"/>
    <w:basedOn w:val="DefaultParagraphFont"/>
    <w:link w:val="Heading2"/>
    <w:rsid w:val="00CC74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74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74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74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74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74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74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7497"/>
    <w:rPr>
      <w:rFonts w:ascii="Courier New" w:eastAsia="Times New Roman" w:hAnsi="Courier New" w:cs="Times New Roman"/>
      <w:i/>
      <w:szCs w:val="20"/>
      <w:lang w:eastAsia="en-US"/>
    </w:rPr>
  </w:style>
  <w:style w:type="paragraph" w:customStyle="1" w:styleId="HeadingBase">
    <w:name w:val="Heading Base"/>
    <w:rsid w:val="00CC74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7497"/>
    <w:pPr>
      <w:tabs>
        <w:tab w:val="right" w:leader="dot" w:pos="9072"/>
      </w:tabs>
      <w:ind w:left="567"/>
    </w:pPr>
    <w:rPr>
      <w:szCs w:val="22"/>
    </w:rPr>
  </w:style>
  <w:style w:type="paragraph" w:customStyle="1" w:styleId="TOCBase">
    <w:name w:val="TOC Base"/>
    <w:rsid w:val="00CC74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7497"/>
    <w:pPr>
      <w:tabs>
        <w:tab w:val="right" w:leader="dot" w:pos="9072"/>
      </w:tabs>
      <w:spacing w:before="40" w:after="40"/>
      <w:ind w:left="284"/>
    </w:pPr>
    <w:rPr>
      <w:rFonts w:ascii="Times New Roman" w:hAnsi="Times New Roman"/>
    </w:rPr>
  </w:style>
  <w:style w:type="paragraph" w:styleId="TOC1">
    <w:name w:val="toc 1"/>
    <w:basedOn w:val="TOCBase"/>
    <w:next w:val="Normal"/>
    <w:rsid w:val="00CC74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74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7497"/>
    <w:rPr>
      <w:rFonts w:ascii="Times New Roman" w:eastAsia="Times New Roman" w:hAnsi="Times New Roman" w:cs="Times New Roman"/>
      <w:sz w:val="16"/>
      <w:lang w:eastAsia="en-US"/>
    </w:rPr>
  </w:style>
  <w:style w:type="paragraph" w:styleId="Title">
    <w:name w:val="Title"/>
    <w:basedOn w:val="HeadingBase"/>
    <w:link w:val="TitleChar"/>
    <w:qFormat/>
    <w:rsid w:val="00CC7497"/>
    <w:pPr>
      <w:spacing w:before="5040"/>
      <w:jc w:val="center"/>
    </w:pPr>
    <w:rPr>
      <w:sz w:val="48"/>
      <w:szCs w:val="72"/>
      <w:lang w:val="en-US"/>
    </w:rPr>
  </w:style>
  <w:style w:type="character" w:customStyle="1" w:styleId="TitleChar">
    <w:name w:val="Title Char"/>
    <w:basedOn w:val="DefaultParagraphFont"/>
    <w:link w:val="Title"/>
    <w:rsid w:val="00CC74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7497"/>
    <w:pPr>
      <w:tabs>
        <w:tab w:val="left" w:pos="3600"/>
        <w:tab w:val="left" w:pos="3958"/>
      </w:tabs>
    </w:pPr>
  </w:style>
  <w:style w:type="paragraph" w:styleId="List">
    <w:name w:val="List"/>
    <w:basedOn w:val="BodyText"/>
    <w:next w:val="BodyText"/>
    <w:rsid w:val="00CC7497"/>
    <w:pPr>
      <w:tabs>
        <w:tab w:val="left" w:pos="340"/>
      </w:tabs>
      <w:spacing w:before="60" w:after="60"/>
      <w:ind w:left="340" w:hanging="340"/>
    </w:pPr>
  </w:style>
  <w:style w:type="paragraph" w:customStyle="1" w:styleId="Note">
    <w:name w:val="Note"/>
    <w:basedOn w:val="BodyText"/>
    <w:rsid w:val="00CC74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7497"/>
    <w:pPr>
      <w:framePr w:wrap="auto" w:hAnchor="text" w:y="6049"/>
    </w:pPr>
    <w:rPr>
      <w:color w:val="000000"/>
      <w:sz w:val="40"/>
    </w:rPr>
  </w:style>
  <w:style w:type="paragraph" w:customStyle="1" w:styleId="TOCTitle">
    <w:name w:val="TOCTitle"/>
    <w:basedOn w:val="Heading1"/>
    <w:rsid w:val="00CC7497"/>
    <w:pPr>
      <w:spacing w:after="240"/>
      <w:jc w:val="center"/>
      <w:outlineLvl w:val="9"/>
    </w:pPr>
    <w:rPr>
      <w:caps/>
    </w:rPr>
  </w:style>
  <w:style w:type="paragraph" w:customStyle="1" w:styleId="Version">
    <w:name w:val="Version"/>
    <w:rsid w:val="00CC74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7497"/>
    <w:pPr>
      <w:keepNext w:val="0"/>
      <w:tabs>
        <w:tab w:val="right" w:pos="4176"/>
      </w:tabs>
      <w:ind w:left="198" w:hanging="198"/>
    </w:pPr>
    <w:rPr>
      <w:rFonts w:ascii="Garamond" w:hAnsi="Garamond"/>
    </w:rPr>
  </w:style>
  <w:style w:type="paragraph" w:styleId="IndexHeading">
    <w:name w:val="index heading"/>
    <w:basedOn w:val="Normal"/>
    <w:next w:val="Index1"/>
    <w:semiHidden/>
    <w:rsid w:val="00CC7497"/>
    <w:pPr>
      <w:spacing w:before="120" w:after="120"/>
    </w:pPr>
    <w:rPr>
      <w:rFonts w:ascii="Arial" w:hAnsi="Arial"/>
      <w:b/>
      <w:color w:val="918585"/>
      <w:sz w:val="24"/>
    </w:rPr>
  </w:style>
  <w:style w:type="paragraph" w:styleId="Header">
    <w:name w:val="header"/>
    <w:basedOn w:val="Normal"/>
    <w:link w:val="HeaderChar"/>
    <w:rsid w:val="00CC74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7497"/>
    <w:rPr>
      <w:rFonts w:ascii="Times New Roman" w:eastAsia="Times New Roman" w:hAnsi="Times New Roman" w:cs="Times New Roman"/>
      <w:sz w:val="16"/>
      <w:szCs w:val="20"/>
      <w:lang w:val="en-GB" w:eastAsia="en-US"/>
    </w:rPr>
  </w:style>
  <w:style w:type="paragraph" w:customStyle="1" w:styleId="Chapter">
    <w:name w:val="Chapter"/>
    <w:basedOn w:val="Normal"/>
    <w:rsid w:val="00CC7497"/>
    <w:pPr>
      <w:spacing w:before="240"/>
    </w:pPr>
    <w:rPr>
      <w:rFonts w:ascii="Times New Roman" w:hAnsi="Times New Roman"/>
      <w:smallCaps/>
      <w:spacing w:val="80"/>
      <w:sz w:val="28"/>
    </w:rPr>
  </w:style>
  <w:style w:type="paragraph" w:customStyle="1" w:styleId="InChapter">
    <w:name w:val="InChapter"/>
    <w:basedOn w:val="Heading3"/>
    <w:rsid w:val="00CC7497"/>
    <w:pPr>
      <w:spacing w:after="240"/>
      <w:outlineLvl w:val="9"/>
    </w:pPr>
    <w:rPr>
      <w:noProof/>
    </w:rPr>
  </w:style>
  <w:style w:type="paragraph" w:styleId="Index2">
    <w:name w:val="index 2"/>
    <w:basedOn w:val="Normal"/>
    <w:next w:val="Normal"/>
    <w:semiHidden/>
    <w:rsid w:val="00CC7497"/>
    <w:pPr>
      <w:tabs>
        <w:tab w:val="right" w:pos="4176"/>
      </w:tabs>
      <w:ind w:left="568" w:hanging="284"/>
    </w:pPr>
    <w:rPr>
      <w:rFonts w:ascii="Garamond" w:hAnsi="Garamond"/>
    </w:rPr>
  </w:style>
  <w:style w:type="paragraph" w:customStyle="1" w:styleId="Byline">
    <w:name w:val="Byline"/>
    <w:rsid w:val="00CC74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7497"/>
    <w:pPr>
      <w:tabs>
        <w:tab w:val="clear" w:pos="3600"/>
        <w:tab w:val="clear" w:pos="3958"/>
      </w:tabs>
      <w:jc w:val="right"/>
    </w:pPr>
  </w:style>
  <w:style w:type="character" w:styleId="Emphasis">
    <w:name w:val="Emphasis"/>
    <w:basedOn w:val="DefaultParagraphFont"/>
    <w:qFormat/>
    <w:rsid w:val="00CC7497"/>
    <w:rPr>
      <w:i/>
    </w:rPr>
  </w:style>
  <w:style w:type="paragraph" w:styleId="Caption">
    <w:name w:val="caption"/>
    <w:basedOn w:val="BodyText"/>
    <w:next w:val="Normal"/>
    <w:qFormat/>
    <w:rsid w:val="00CC7497"/>
    <w:pPr>
      <w:framePr w:w="2268" w:hSpace="181" w:vSpace="181" w:wrap="around" w:vAnchor="text" w:hAnchor="page" w:x="1135" w:y="285" w:anchorLock="1"/>
    </w:pPr>
    <w:rPr>
      <w:i/>
    </w:rPr>
  </w:style>
  <w:style w:type="paragraph" w:customStyle="1" w:styleId="MiniTOCTitle">
    <w:name w:val="MiniTOCTitle"/>
    <w:basedOn w:val="Heading4"/>
    <w:rsid w:val="00CC7497"/>
    <w:pPr>
      <w:spacing w:before="240"/>
      <w:outlineLvl w:val="9"/>
    </w:pPr>
    <w:rPr>
      <w:noProof/>
      <w:sz w:val="24"/>
    </w:rPr>
  </w:style>
  <w:style w:type="paragraph" w:customStyle="1" w:styleId="MiniTOCItem">
    <w:name w:val="MiniTOCItem"/>
    <w:basedOn w:val="ListBullet"/>
    <w:rsid w:val="00CC7497"/>
    <w:pPr>
      <w:numPr>
        <w:numId w:val="0"/>
      </w:numPr>
      <w:tabs>
        <w:tab w:val="right" w:leader="dot" w:pos="6521"/>
      </w:tabs>
      <w:spacing w:before="0" w:after="0"/>
    </w:pPr>
  </w:style>
  <w:style w:type="paragraph" w:customStyle="1" w:styleId="TOFTitle">
    <w:name w:val="TOFTitle"/>
    <w:basedOn w:val="TOCTitle"/>
    <w:rsid w:val="00CC7497"/>
  </w:style>
  <w:style w:type="paragraph" w:styleId="TableofFigures">
    <w:name w:val="table of figures"/>
    <w:basedOn w:val="Normal"/>
    <w:next w:val="Normal"/>
    <w:semiHidden/>
    <w:rsid w:val="00CC7497"/>
    <w:pPr>
      <w:tabs>
        <w:tab w:val="right" w:leader="dot" w:pos="9072"/>
      </w:tabs>
      <w:ind w:left="970" w:hanging="403"/>
    </w:pPr>
    <w:rPr>
      <w:rFonts w:ascii="Times New Roman" w:hAnsi="Times New Roman"/>
      <w:b/>
    </w:rPr>
  </w:style>
  <w:style w:type="paragraph" w:styleId="ListNumber">
    <w:name w:val="List Number"/>
    <w:basedOn w:val="List"/>
    <w:rsid w:val="00CC7497"/>
    <w:pPr>
      <w:numPr>
        <w:numId w:val="15"/>
      </w:numPr>
      <w:tabs>
        <w:tab w:val="clear" w:pos="340"/>
      </w:tabs>
    </w:pPr>
  </w:style>
  <w:style w:type="character" w:customStyle="1" w:styleId="WingdingSymbols">
    <w:name w:val="Wingding Symbols"/>
    <w:rsid w:val="00CC7497"/>
    <w:rPr>
      <w:rFonts w:ascii="Wingdings" w:hAnsi="Wingdings"/>
    </w:rPr>
  </w:style>
  <w:style w:type="paragraph" w:customStyle="1" w:styleId="TableHeading">
    <w:name w:val="Table Heading"/>
    <w:basedOn w:val="HeadingBase"/>
    <w:rsid w:val="00CC7497"/>
    <w:pPr>
      <w:keepLines/>
      <w:pBdr>
        <w:bottom w:val="single" w:sz="6" w:space="1" w:color="918585"/>
      </w:pBdr>
      <w:spacing w:before="240"/>
    </w:pPr>
  </w:style>
  <w:style w:type="character" w:customStyle="1" w:styleId="HotSpot">
    <w:name w:val="HotSpot"/>
    <w:rsid w:val="00CC7497"/>
    <w:rPr>
      <w:color w:val="0033CC"/>
      <w:u w:val="none"/>
    </w:rPr>
  </w:style>
  <w:style w:type="paragraph" w:customStyle="1" w:styleId="BodyTextRight">
    <w:name w:val="Body Text Right"/>
    <w:basedOn w:val="BodyText"/>
    <w:rsid w:val="00CC7497"/>
    <w:pPr>
      <w:spacing w:before="0" w:after="0"/>
      <w:jc w:val="right"/>
    </w:pPr>
  </w:style>
  <w:style w:type="paragraph" w:styleId="Index3">
    <w:name w:val="index 3"/>
    <w:basedOn w:val="ListNumber2"/>
    <w:next w:val="Normal"/>
    <w:semiHidden/>
    <w:rsid w:val="00CC7497"/>
    <w:pPr>
      <w:numPr>
        <w:numId w:val="0"/>
      </w:numPr>
      <w:tabs>
        <w:tab w:val="right" w:leader="dot" w:pos="4176"/>
      </w:tabs>
    </w:pPr>
  </w:style>
  <w:style w:type="paragraph" w:styleId="ListNumber2">
    <w:name w:val="List Number 2"/>
    <w:basedOn w:val="List2"/>
    <w:rsid w:val="00CC7497"/>
    <w:pPr>
      <w:numPr>
        <w:numId w:val="10"/>
      </w:numPr>
      <w:tabs>
        <w:tab w:val="clear" w:pos="1060"/>
      </w:tabs>
    </w:pPr>
  </w:style>
  <w:style w:type="paragraph" w:customStyle="1" w:styleId="MarginNote">
    <w:name w:val="Margin Note"/>
    <w:basedOn w:val="BodyText"/>
    <w:rsid w:val="00CC74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74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74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7497"/>
    <w:rPr>
      <w:sz w:val="32"/>
    </w:rPr>
  </w:style>
  <w:style w:type="paragraph" w:customStyle="1" w:styleId="HeadingProcedure">
    <w:name w:val="Heading Procedure"/>
    <w:basedOn w:val="HeadingBase"/>
    <w:next w:val="Normal"/>
    <w:rsid w:val="00CC7497"/>
    <w:pPr>
      <w:tabs>
        <w:tab w:val="left" w:pos="0"/>
      </w:tabs>
      <w:spacing w:before="120" w:after="60"/>
    </w:pPr>
    <w:rPr>
      <w:i/>
      <w:color w:val="918585"/>
      <w:sz w:val="22"/>
    </w:rPr>
  </w:style>
  <w:style w:type="paragraph" w:customStyle="1" w:styleId="TableBodyText">
    <w:name w:val="Table Body Text"/>
    <w:basedOn w:val="BodyText"/>
    <w:rsid w:val="00CC7497"/>
    <w:pPr>
      <w:spacing w:before="60" w:after="60"/>
    </w:pPr>
  </w:style>
  <w:style w:type="paragraph" w:styleId="ListContinue">
    <w:name w:val="List Continue"/>
    <w:basedOn w:val="List"/>
    <w:rsid w:val="00CC7497"/>
    <w:pPr>
      <w:ind w:firstLine="0"/>
    </w:pPr>
  </w:style>
  <w:style w:type="paragraph" w:customStyle="1" w:styleId="ListNote">
    <w:name w:val="List Note"/>
    <w:basedOn w:val="List"/>
    <w:rsid w:val="00CC7497"/>
    <w:pPr>
      <w:pBdr>
        <w:top w:val="single" w:sz="6" w:space="2" w:color="918585"/>
        <w:bottom w:val="single" w:sz="6" w:space="2" w:color="918585"/>
      </w:pBdr>
      <w:tabs>
        <w:tab w:val="left" w:pos="1021"/>
      </w:tabs>
      <w:ind w:firstLine="0"/>
    </w:pPr>
  </w:style>
  <w:style w:type="paragraph" w:customStyle="1" w:styleId="Warning">
    <w:name w:val="Warning"/>
    <w:basedOn w:val="BodyText"/>
    <w:rsid w:val="00CC7497"/>
    <w:pPr>
      <w:shd w:val="clear" w:color="auto" w:fill="D9D9D9"/>
      <w:tabs>
        <w:tab w:val="left" w:pos="992"/>
      </w:tabs>
      <w:ind w:left="119" w:right="119"/>
    </w:pPr>
    <w:rPr>
      <w:sz w:val="20"/>
    </w:rPr>
  </w:style>
  <w:style w:type="paragraph" w:customStyle="1" w:styleId="MarginIcons">
    <w:name w:val="Margin Icons"/>
    <w:basedOn w:val="BodyText"/>
    <w:rsid w:val="00CC74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7497"/>
    <w:rPr>
      <w:rFonts w:ascii="Courier New" w:hAnsi="Courier New"/>
    </w:rPr>
  </w:style>
  <w:style w:type="paragraph" w:customStyle="1" w:styleId="NoteBullet">
    <w:name w:val="Note Bullet"/>
    <w:basedOn w:val="Note"/>
    <w:rsid w:val="00CC7497"/>
    <w:pPr>
      <w:tabs>
        <w:tab w:val="clear" w:pos="680"/>
      </w:tabs>
      <w:spacing w:before="60" w:after="60"/>
    </w:pPr>
  </w:style>
  <w:style w:type="paragraph" w:customStyle="1" w:styleId="SubHeading2">
    <w:name w:val="SubHeading2"/>
    <w:basedOn w:val="HeadingBase"/>
    <w:rsid w:val="00CC7497"/>
    <w:pPr>
      <w:spacing w:before="240" w:after="60"/>
    </w:pPr>
    <w:rPr>
      <w:sz w:val="20"/>
    </w:rPr>
  </w:style>
  <w:style w:type="paragraph" w:customStyle="1" w:styleId="SubHeading1">
    <w:name w:val="SubHeading1"/>
    <w:basedOn w:val="HeadingBase"/>
    <w:rsid w:val="00CC7497"/>
    <w:pPr>
      <w:spacing w:before="240" w:after="60"/>
    </w:pPr>
    <w:rPr>
      <w:color w:val="918585"/>
      <w:sz w:val="22"/>
    </w:rPr>
  </w:style>
  <w:style w:type="paragraph" w:customStyle="1" w:styleId="SideHeading">
    <w:name w:val="Side Heading"/>
    <w:basedOn w:val="HeadingBase"/>
    <w:rsid w:val="00CC74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7497"/>
    <w:pPr>
      <w:tabs>
        <w:tab w:val="num" w:pos="360"/>
      </w:tabs>
    </w:pPr>
  </w:style>
  <w:style w:type="paragraph" w:styleId="PlainText">
    <w:name w:val="Plain Text"/>
    <w:basedOn w:val="Normal"/>
    <w:link w:val="PlainTextChar"/>
    <w:rsid w:val="00CC7497"/>
    <w:rPr>
      <w:sz w:val="20"/>
    </w:rPr>
  </w:style>
  <w:style w:type="character" w:customStyle="1" w:styleId="PlainTextChar">
    <w:name w:val="Plain Text Char"/>
    <w:basedOn w:val="DefaultParagraphFont"/>
    <w:link w:val="PlainText"/>
    <w:rsid w:val="00CC7497"/>
    <w:rPr>
      <w:rFonts w:ascii="Courier New" w:eastAsia="Times New Roman" w:hAnsi="Courier New" w:cs="Times New Roman"/>
      <w:sz w:val="20"/>
      <w:szCs w:val="20"/>
      <w:lang w:eastAsia="en-US"/>
    </w:rPr>
  </w:style>
  <w:style w:type="character" w:customStyle="1" w:styleId="MenuOption">
    <w:name w:val="Menu Option"/>
    <w:basedOn w:val="DefaultParagraphFont"/>
    <w:rsid w:val="00CC7497"/>
    <w:rPr>
      <w:b/>
      <w:smallCaps/>
    </w:rPr>
  </w:style>
  <w:style w:type="paragraph" w:customStyle="1" w:styleId="TableListNumber">
    <w:name w:val="Table List Number"/>
    <w:basedOn w:val="ListNumber"/>
    <w:rsid w:val="00CC7497"/>
    <w:pPr>
      <w:numPr>
        <w:numId w:val="0"/>
      </w:numPr>
    </w:pPr>
  </w:style>
  <w:style w:type="paragraph" w:styleId="TOC4">
    <w:name w:val="toc 4"/>
    <w:basedOn w:val="TOCBase"/>
    <w:next w:val="Normal"/>
    <w:semiHidden/>
    <w:rsid w:val="00CC7497"/>
    <w:pPr>
      <w:tabs>
        <w:tab w:val="right" w:leader="dot" w:pos="9071"/>
      </w:tabs>
      <w:ind w:left="1701"/>
    </w:pPr>
  </w:style>
  <w:style w:type="paragraph" w:customStyle="1" w:styleId="ListAlpha">
    <w:name w:val="List Alpha"/>
    <w:basedOn w:val="List"/>
    <w:rsid w:val="00CC7497"/>
    <w:pPr>
      <w:numPr>
        <w:numId w:val="9"/>
      </w:numPr>
    </w:pPr>
  </w:style>
  <w:style w:type="paragraph" w:customStyle="1" w:styleId="ListAlpha2">
    <w:name w:val="List Alpha 2"/>
    <w:basedOn w:val="List2"/>
    <w:rsid w:val="00CC7497"/>
    <w:pPr>
      <w:numPr>
        <w:numId w:val="8"/>
      </w:numPr>
    </w:pPr>
  </w:style>
  <w:style w:type="paragraph" w:styleId="List2">
    <w:name w:val="List 2"/>
    <w:basedOn w:val="BodyText"/>
    <w:rsid w:val="00CC7497"/>
    <w:pPr>
      <w:tabs>
        <w:tab w:val="left" w:pos="680"/>
      </w:tabs>
      <w:spacing w:before="60" w:after="60"/>
      <w:ind w:left="680" w:hanging="340"/>
    </w:pPr>
  </w:style>
  <w:style w:type="paragraph" w:styleId="List3">
    <w:name w:val="List 3"/>
    <w:basedOn w:val="BodyText"/>
    <w:rsid w:val="00CC7497"/>
    <w:pPr>
      <w:tabs>
        <w:tab w:val="left" w:pos="1021"/>
      </w:tabs>
      <w:spacing w:before="60" w:after="60"/>
      <w:ind w:left="1020" w:hanging="340"/>
    </w:pPr>
  </w:style>
  <w:style w:type="paragraph" w:styleId="List4">
    <w:name w:val="List 4"/>
    <w:basedOn w:val="BodyText"/>
    <w:rsid w:val="00CC7497"/>
    <w:pPr>
      <w:tabs>
        <w:tab w:val="left" w:pos="1361"/>
      </w:tabs>
      <w:spacing w:before="60" w:after="60"/>
      <w:ind w:left="1361" w:hanging="340"/>
    </w:pPr>
  </w:style>
  <w:style w:type="paragraph" w:styleId="List5">
    <w:name w:val="List 5"/>
    <w:basedOn w:val="BodyText"/>
    <w:rsid w:val="00CC7497"/>
    <w:pPr>
      <w:tabs>
        <w:tab w:val="left" w:pos="1701"/>
      </w:tabs>
      <w:spacing w:before="60" w:after="60"/>
      <w:ind w:left="1701" w:hanging="340"/>
    </w:pPr>
  </w:style>
  <w:style w:type="paragraph" w:styleId="ListBullet3">
    <w:name w:val="List Bullet 3"/>
    <w:basedOn w:val="List3"/>
    <w:rsid w:val="00CC7497"/>
    <w:pPr>
      <w:numPr>
        <w:numId w:val="14"/>
      </w:numPr>
      <w:tabs>
        <w:tab w:val="clear" w:pos="1021"/>
      </w:tabs>
      <w:ind w:left="1037" w:hanging="357"/>
    </w:pPr>
  </w:style>
  <w:style w:type="paragraph" w:styleId="ListBullet4">
    <w:name w:val="List Bullet 4"/>
    <w:basedOn w:val="List4"/>
    <w:rsid w:val="00CC7497"/>
    <w:pPr>
      <w:numPr>
        <w:numId w:val="3"/>
      </w:numPr>
      <w:tabs>
        <w:tab w:val="clear" w:pos="1361"/>
      </w:tabs>
    </w:pPr>
  </w:style>
  <w:style w:type="paragraph" w:styleId="ListBullet5">
    <w:name w:val="List Bullet 5"/>
    <w:basedOn w:val="List5"/>
    <w:rsid w:val="00CC7497"/>
    <w:pPr>
      <w:numPr>
        <w:numId w:val="4"/>
      </w:numPr>
    </w:pPr>
  </w:style>
  <w:style w:type="paragraph" w:styleId="ListContinue2">
    <w:name w:val="List Continue 2"/>
    <w:basedOn w:val="List2"/>
    <w:rsid w:val="00CC7497"/>
    <w:pPr>
      <w:ind w:firstLine="0"/>
    </w:pPr>
  </w:style>
  <w:style w:type="paragraph" w:styleId="ListContinue3">
    <w:name w:val="List Continue 3"/>
    <w:basedOn w:val="List3"/>
    <w:rsid w:val="00CC7497"/>
    <w:pPr>
      <w:ind w:left="1021" w:firstLine="0"/>
    </w:pPr>
  </w:style>
  <w:style w:type="paragraph" w:styleId="ListContinue4">
    <w:name w:val="List Continue 4"/>
    <w:basedOn w:val="List4"/>
    <w:rsid w:val="00CC7497"/>
    <w:pPr>
      <w:ind w:firstLine="0"/>
    </w:pPr>
  </w:style>
  <w:style w:type="paragraph" w:styleId="ListContinue5">
    <w:name w:val="List Continue 5"/>
    <w:basedOn w:val="List5"/>
    <w:rsid w:val="00CC7497"/>
    <w:pPr>
      <w:ind w:firstLine="0"/>
    </w:pPr>
  </w:style>
  <w:style w:type="paragraph" w:styleId="ListNumber3">
    <w:name w:val="List Number 3"/>
    <w:basedOn w:val="List3"/>
    <w:rsid w:val="00CC7497"/>
    <w:pPr>
      <w:numPr>
        <w:numId w:val="5"/>
      </w:numPr>
    </w:pPr>
  </w:style>
  <w:style w:type="paragraph" w:styleId="ListNumber4">
    <w:name w:val="List Number 4"/>
    <w:basedOn w:val="List4"/>
    <w:rsid w:val="00CC7497"/>
    <w:pPr>
      <w:numPr>
        <w:numId w:val="6"/>
      </w:numPr>
    </w:pPr>
  </w:style>
  <w:style w:type="paragraph" w:styleId="ListNumber5">
    <w:name w:val="List Number 5"/>
    <w:basedOn w:val="List5"/>
    <w:rsid w:val="00CC7497"/>
    <w:pPr>
      <w:numPr>
        <w:numId w:val="7"/>
      </w:numPr>
    </w:pPr>
  </w:style>
  <w:style w:type="paragraph" w:styleId="BlockText">
    <w:name w:val="Block Text"/>
    <w:basedOn w:val="Normal"/>
    <w:rsid w:val="00CC7497"/>
    <w:pPr>
      <w:spacing w:after="120"/>
      <w:ind w:left="1440" w:right="1440"/>
    </w:pPr>
  </w:style>
  <w:style w:type="character" w:customStyle="1" w:styleId="Subscript">
    <w:name w:val="Subscript"/>
    <w:basedOn w:val="DefaultParagraphFont"/>
    <w:rsid w:val="00CC7497"/>
    <w:rPr>
      <w:sz w:val="16"/>
      <w:vertAlign w:val="subscript"/>
    </w:rPr>
  </w:style>
  <w:style w:type="character" w:customStyle="1" w:styleId="Superscript">
    <w:name w:val="Superscript"/>
    <w:basedOn w:val="DefaultParagraphFont"/>
    <w:rsid w:val="00CC7497"/>
    <w:rPr>
      <w:sz w:val="16"/>
      <w:vertAlign w:val="superscript"/>
    </w:rPr>
  </w:style>
  <w:style w:type="character" w:customStyle="1" w:styleId="Symbols">
    <w:name w:val="Symbols"/>
    <w:basedOn w:val="DefaultParagraphFont"/>
    <w:rsid w:val="00CC7497"/>
    <w:rPr>
      <w:rFonts w:ascii="Symbol" w:hAnsi="Symbol"/>
    </w:rPr>
  </w:style>
  <w:style w:type="character" w:customStyle="1" w:styleId="MenuOptions">
    <w:name w:val="Menu Options"/>
    <w:basedOn w:val="DefaultParagraphFont"/>
    <w:rsid w:val="00CC7497"/>
    <w:rPr>
      <w:rFonts w:ascii="Arial Narrow" w:hAnsi="Arial Narrow"/>
      <w:smallCaps/>
    </w:rPr>
  </w:style>
  <w:style w:type="character" w:customStyle="1" w:styleId="Buttons">
    <w:name w:val="Buttons"/>
    <w:basedOn w:val="DefaultParagraphFont"/>
    <w:rsid w:val="00CC7497"/>
    <w:rPr>
      <w:b/>
    </w:rPr>
  </w:style>
  <w:style w:type="character" w:customStyle="1" w:styleId="Underlined">
    <w:name w:val="Underlined"/>
    <w:basedOn w:val="DefaultParagraphFont"/>
    <w:rsid w:val="00CC7497"/>
    <w:rPr>
      <w:u w:val="single"/>
    </w:rPr>
  </w:style>
  <w:style w:type="paragraph" w:customStyle="1" w:styleId="TableBodyTextRight">
    <w:name w:val="Table Body Text Right"/>
    <w:basedOn w:val="TableBodyText"/>
    <w:rsid w:val="00CC7497"/>
    <w:pPr>
      <w:widowControl w:val="0"/>
      <w:autoSpaceDE w:val="0"/>
      <w:autoSpaceDN w:val="0"/>
      <w:adjustRightInd w:val="0"/>
      <w:jc w:val="right"/>
    </w:pPr>
    <w:rPr>
      <w:rFonts w:cs="Arial"/>
      <w:szCs w:val="18"/>
    </w:rPr>
  </w:style>
  <w:style w:type="paragraph" w:customStyle="1" w:styleId="CopyrightText">
    <w:name w:val="Copyright Text"/>
    <w:basedOn w:val="BodyText"/>
    <w:rsid w:val="00CC7497"/>
    <w:rPr>
      <w:sz w:val="18"/>
    </w:rPr>
  </w:style>
  <w:style w:type="paragraph" w:customStyle="1" w:styleId="BodySmallRight">
    <w:name w:val="Body Small Right"/>
    <w:basedOn w:val="BodyTextRight"/>
    <w:rsid w:val="00CC7497"/>
    <w:rPr>
      <w:sz w:val="18"/>
      <w:szCs w:val="18"/>
    </w:rPr>
  </w:style>
  <w:style w:type="paragraph" w:customStyle="1" w:styleId="MarginEdition">
    <w:name w:val="Margin Edition"/>
    <w:basedOn w:val="MarginNote"/>
    <w:rsid w:val="00CC7497"/>
    <w:pPr>
      <w:spacing w:before="0" w:after="0"/>
    </w:pPr>
    <w:rPr>
      <w:rFonts w:ascii="Times New Roman" w:hAnsi="Times New Roman"/>
      <w:color w:val="999999"/>
    </w:rPr>
  </w:style>
  <w:style w:type="paragraph" w:customStyle="1" w:styleId="Spacer">
    <w:name w:val="Spacer"/>
    <w:basedOn w:val="Normal"/>
    <w:rsid w:val="00CC7497"/>
    <w:rPr>
      <w:sz w:val="2"/>
      <w:szCs w:val="2"/>
    </w:rPr>
  </w:style>
  <w:style w:type="character" w:customStyle="1" w:styleId="Small">
    <w:name w:val="Small"/>
    <w:basedOn w:val="DefaultParagraphFont"/>
    <w:rsid w:val="00CC7497"/>
    <w:rPr>
      <w:sz w:val="16"/>
    </w:rPr>
  </w:style>
  <w:style w:type="paragraph" w:customStyle="1" w:styleId="WideTable">
    <w:name w:val="Wide Table"/>
    <w:basedOn w:val="Normal"/>
    <w:rsid w:val="00CC7497"/>
    <w:pPr>
      <w:ind w:left="-1418"/>
    </w:pPr>
    <w:rPr>
      <w:sz w:val="2"/>
      <w:szCs w:val="2"/>
    </w:rPr>
  </w:style>
  <w:style w:type="character" w:styleId="PageNumber">
    <w:name w:val="page number"/>
    <w:basedOn w:val="DefaultParagraphFont"/>
    <w:rsid w:val="00CC7497"/>
  </w:style>
  <w:style w:type="paragraph" w:styleId="Quote">
    <w:name w:val="Quote"/>
    <w:basedOn w:val="Heading1"/>
    <w:link w:val="QuoteChar"/>
    <w:qFormat/>
    <w:rsid w:val="00CC7497"/>
    <w:rPr>
      <w:b w:val="0"/>
      <w:sz w:val="72"/>
      <w:szCs w:val="72"/>
      <w:lang w:val="en-NZ"/>
    </w:rPr>
  </w:style>
  <w:style w:type="character" w:customStyle="1" w:styleId="QuoteChar">
    <w:name w:val="Quote Char"/>
    <w:basedOn w:val="DefaultParagraphFont"/>
    <w:link w:val="Quote"/>
    <w:rsid w:val="00CC74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7497"/>
    <w:pPr>
      <w:pageBreakBefore/>
    </w:pPr>
  </w:style>
  <w:style w:type="paragraph" w:customStyle="1" w:styleId="Border">
    <w:name w:val="Border"/>
    <w:basedOn w:val="Normal"/>
    <w:qFormat/>
    <w:rsid w:val="00CC74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7497"/>
    <w:rPr>
      <w:b/>
      <w:bCs/>
      <w:i/>
      <w:iCs/>
      <w:color w:val="auto"/>
    </w:rPr>
  </w:style>
  <w:style w:type="paragraph" w:styleId="IntenseQuote">
    <w:name w:val="Intense Quote"/>
    <w:basedOn w:val="Normal"/>
    <w:next w:val="Normal"/>
    <w:link w:val="IntenseQuoteChar"/>
    <w:uiPriority w:val="30"/>
    <w:qFormat/>
    <w:rsid w:val="00CC74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74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7497"/>
    <w:rPr>
      <w:smallCaps/>
      <w:color w:val="auto"/>
      <w:u w:val="single"/>
    </w:rPr>
  </w:style>
  <w:style w:type="character" w:styleId="IntenseReference">
    <w:name w:val="Intense Reference"/>
    <w:basedOn w:val="DefaultParagraphFont"/>
    <w:uiPriority w:val="32"/>
    <w:qFormat/>
    <w:rsid w:val="00CC7497"/>
    <w:rPr>
      <w:b/>
      <w:bCs/>
      <w:smallCaps/>
      <w:color w:val="auto"/>
      <w:spacing w:val="5"/>
      <w:u w:val="single"/>
    </w:rPr>
  </w:style>
  <w:style w:type="paragraph" w:customStyle="1" w:styleId="2ColumnHeading">
    <w:name w:val="2Column Heading"/>
    <w:basedOn w:val="BodyText"/>
    <w:qFormat/>
    <w:rsid w:val="00CC7497"/>
    <w:pPr>
      <w:spacing w:after="60"/>
      <w:ind w:left="-2268"/>
    </w:pPr>
    <w:rPr>
      <w:b/>
    </w:rPr>
  </w:style>
  <w:style w:type="paragraph" w:customStyle="1" w:styleId="Heading1TOC">
    <w:name w:val="Heading1 TOC"/>
    <w:basedOn w:val="Normal"/>
    <w:qFormat/>
    <w:rsid w:val="00CC7497"/>
    <w:pPr>
      <w:spacing w:before="240" w:after="120"/>
    </w:pPr>
    <w:rPr>
      <w:rFonts w:ascii="Times New Roman" w:hAnsi="Times New Roman"/>
      <w:b/>
      <w:sz w:val="32"/>
    </w:rPr>
  </w:style>
  <w:style w:type="paragraph" w:customStyle="1" w:styleId="Heading2TOC">
    <w:name w:val="Heading2 TOC"/>
    <w:basedOn w:val="Normal"/>
    <w:qFormat/>
    <w:rsid w:val="00CC7497"/>
    <w:pPr>
      <w:spacing w:before="240" w:after="60"/>
    </w:pPr>
    <w:rPr>
      <w:rFonts w:ascii="Times New Roman" w:hAnsi="Times New Roman"/>
      <w:b/>
      <w:sz w:val="28"/>
    </w:rPr>
  </w:style>
  <w:style w:type="character" w:customStyle="1" w:styleId="Underline">
    <w:name w:val="Underline"/>
    <w:basedOn w:val="DefaultParagraphFont"/>
    <w:qFormat/>
    <w:rsid w:val="00CC7497"/>
    <w:rPr>
      <w:u w:val="single"/>
    </w:rPr>
  </w:style>
  <w:style w:type="paragraph" w:styleId="BalloonText">
    <w:name w:val="Balloon Text"/>
    <w:basedOn w:val="Normal"/>
    <w:link w:val="BalloonTextChar"/>
    <w:rsid w:val="00CC7497"/>
    <w:rPr>
      <w:rFonts w:ascii="Tahoma" w:hAnsi="Tahoma" w:cs="Tahoma"/>
      <w:sz w:val="16"/>
      <w:szCs w:val="16"/>
    </w:rPr>
  </w:style>
  <w:style w:type="character" w:customStyle="1" w:styleId="BalloonTextChar">
    <w:name w:val="Balloon Text Char"/>
    <w:basedOn w:val="DefaultParagraphFont"/>
    <w:link w:val="BalloonText"/>
    <w:rsid w:val="00CC74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74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74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7497"/>
    <w:rPr>
      <w:b/>
      <w:color w:val="660033"/>
      <w:spacing w:val="0"/>
    </w:rPr>
  </w:style>
  <w:style w:type="paragraph" w:customStyle="1" w:styleId="Nameditemlist">
    <w:name w:val="Named item list"/>
    <w:basedOn w:val="BodyText"/>
    <w:qFormat/>
    <w:rsid w:val="00CC7497"/>
    <w:pPr>
      <w:tabs>
        <w:tab w:val="left" w:pos="2835"/>
      </w:tabs>
      <w:ind w:left="2835" w:hanging="2835"/>
    </w:pPr>
  </w:style>
  <w:style w:type="paragraph" w:customStyle="1" w:styleId="BodyTextnopadding">
    <w:name w:val="Body Text no padding"/>
    <w:basedOn w:val="BodyText"/>
    <w:qFormat/>
    <w:rsid w:val="00CC7497"/>
    <w:pPr>
      <w:spacing w:before="0" w:after="0"/>
    </w:pPr>
  </w:style>
  <w:style w:type="paragraph" w:customStyle="1" w:styleId="BodyTextBold">
    <w:name w:val="Body Text Bold"/>
    <w:basedOn w:val="BodyText"/>
    <w:qFormat/>
    <w:rsid w:val="00CC7497"/>
    <w:rPr>
      <w:b/>
    </w:rPr>
  </w:style>
  <w:style w:type="character" w:styleId="Hyperlink">
    <w:name w:val="Hyperlink"/>
    <w:basedOn w:val="DefaultParagraphFont"/>
    <w:uiPriority w:val="99"/>
    <w:unhideWhenUsed/>
    <w:rsid w:val="008B22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1270</Words>
  <Characters>8030</Characters>
  <Application>Microsoft Office Word</Application>
  <DocSecurity>0</DocSecurity>
  <Lines>349</Lines>
  <Paragraphs>226</Paragraphs>
  <ScaleCrop>false</ScaleCrop>
  <Company>Author-it Software Corporation Ltd.</Company>
  <LinksUpToDate>false</LinksUpToDate>
  <CharactersWithSpaces>9074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CPCCSG3016 Prepare surfaces for signs</dc:title>
  <dc:subject>Approved</dc:subject>
  <dc:creator>BuildSkills Australia</dc:creator>
  <cp:keywords>Release: 1</cp:keywords>
  <dc:description>Review Date: 12 April 2008</dc:description>
  <cp:lastModifiedBy>HSD_TPCMSd.prod</cp:lastModifiedBy>
  <cp:revision>3</cp:revision>
  <dcterms:created xsi:type="dcterms:W3CDTF">2025-03-01T08:48:00Z</dcterms:created>
  <dcterms:modified xsi:type="dcterms:W3CDTF">2025-03-01T08:48:00Z</dcterms:modified>
</cp:coreProperties>
</file>