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CC2" w:rsidP="000F7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CPCCSG3016 Prepare surfaces for signs</w:t>
      </w:r>
      <w:r>
        <w:fldChar w:fldCharType="end"/>
      </w:r>
    </w:p>
    <w:p w:rsidR="000F7CC2" w:rsidP="000F7CC2">
      <w:pPr>
        <w:pStyle w:val="Version"/>
        <w:sectPr w:rsidSect="008F7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9E9" w:rsidP="008F79E9">
      <w:pPr>
        <w:pStyle w:val="SuperHeading"/>
      </w:pPr>
      <w:r w:rsidRPr="008F79E9">
        <w:t>Assessment Requirements for CPCCSG3016 Prepare surfaces for signs</w:t>
      </w:r>
    </w:p>
    <w:p w:rsidR="00000000" w:rsidRPr="008F79E9" w:rsidP="008F79E9">
      <w:pPr>
        <w:pStyle w:val="Heading1"/>
      </w:pPr>
      <w:bookmarkStart w:id="1" w:name="O_832305"/>
      <w:bookmarkEnd w:id="1"/>
      <w:r w:rsidRPr="008F79E9">
        <w:t>Modification History</w:t>
      </w:r>
    </w:p>
    <w:p w:rsidR="00000000" w:rsidRPr="008F79E9" w:rsidP="000F7CC2">
      <w:pPr>
        <w:pStyle w:val="BodyText"/>
      </w:pPr>
      <w:r w:rsidRPr="008F79E9">
        <w:t>Release 1.</w:t>
      </w:r>
    </w:p>
    <w:p w:rsidR="00000000" w:rsidRPr="008F79E9" w:rsidP="000F7CC2">
      <w:pPr>
        <w:pStyle w:val="BodyText"/>
      </w:pPr>
      <w:r w:rsidRPr="008F79E9">
        <w:t>This version first released with CPC Construction and Property Services Training Package Version 2.</w:t>
      </w:r>
    </w:p>
    <w:p w:rsidR="00000000" w:rsidRPr="008F79E9" w:rsidP="000F7CC2">
      <w:pPr>
        <w:pStyle w:val="BodyText"/>
      </w:pPr>
      <w:r w:rsidRPr="008F79E9">
        <w:t>Revised unit of competency. Replaces superseded equivalent CPCCSI2003A Prepare surfaces for signage.</w:t>
      </w:r>
    </w:p>
    <w:p w:rsidR="00000000" w:rsidRPr="008F79E9" w:rsidP="008F79E9">
      <w:pPr>
        <w:pStyle w:val="Heading1"/>
      </w:pPr>
      <w:bookmarkStart w:id="2" w:name="O_832308"/>
      <w:bookmarkEnd w:id="2"/>
      <w:r w:rsidRPr="008F79E9">
        <w:t>Performance Evidence</w:t>
      </w:r>
    </w:p>
    <w:p w:rsidR="00000000" w:rsidRPr="008F79E9" w:rsidP="000F7CC2">
      <w:pPr>
        <w:pStyle w:val="BodyText"/>
      </w:pPr>
      <w:r w:rsidRPr="008F79E9">
        <w:t>A person who demonstrates competency in this unit must satisfy all of the elements, performance criteria and foundati</w:t>
      </w:r>
      <w:r w:rsidRPr="008F79E9">
        <w:t>on skills of this unit, and must safely prepare the following surfaces each measuring at least one square metre, in readiness for application of signs:</w:t>
      </w:r>
    </w:p>
    <w:p w:rsidR="00000000" w:rsidRPr="008F79E9" w:rsidP="008F79E9">
      <w:pPr>
        <w:pStyle w:val="ListBullet"/>
      </w:pPr>
      <w:r w:rsidRPr="008F79E9">
        <w:t>brick wall</w:t>
      </w:r>
    </w:p>
    <w:p w:rsidR="00000000" w:rsidRPr="008F79E9" w:rsidP="008F79E9">
      <w:pPr>
        <w:pStyle w:val="ListBullet"/>
      </w:pPr>
      <w:r w:rsidRPr="008F79E9">
        <w:t>gyprock wall</w:t>
      </w:r>
    </w:p>
    <w:p w:rsidR="00000000" w:rsidRPr="008F79E9" w:rsidP="008F79E9">
      <w:pPr>
        <w:pStyle w:val="ListBullet"/>
      </w:pPr>
      <w:r w:rsidRPr="008F79E9">
        <w:t>metal</w:t>
      </w:r>
    </w:p>
    <w:p w:rsidR="00000000" w:rsidRPr="008F79E9" w:rsidP="008F79E9">
      <w:pPr>
        <w:pStyle w:val="ListBullet"/>
      </w:pPr>
      <w:r w:rsidRPr="008F79E9">
        <w:t>plastic.</w:t>
      </w:r>
    </w:p>
    <w:p w:rsidR="00000000" w:rsidRPr="008F79E9" w:rsidP="008F79E9">
      <w:pPr>
        <w:pStyle w:val="BodyText"/>
      </w:pPr>
    </w:p>
    <w:p w:rsidR="00000000" w:rsidRPr="008F79E9" w:rsidP="000F7CC2">
      <w:pPr>
        <w:pStyle w:val="BodyText"/>
      </w:pPr>
      <w:r w:rsidRPr="008F79E9">
        <w:t>In doing the above work, the person must:</w:t>
      </w:r>
    </w:p>
    <w:p w:rsidR="00000000" w:rsidRPr="008F79E9" w:rsidP="008F79E9">
      <w:pPr>
        <w:pStyle w:val="ListBullet"/>
      </w:pPr>
      <w:r w:rsidRPr="008F79E9">
        <w:t>use appropriate sand</w:t>
      </w:r>
      <w:r w:rsidRPr="008F79E9">
        <w:t>ing and cleaning techniques for each surface</w:t>
      </w:r>
    </w:p>
    <w:p w:rsidR="00000000" w:rsidRPr="008F79E9" w:rsidP="008F79E9">
      <w:pPr>
        <w:pStyle w:val="ListBullet"/>
      </w:pPr>
      <w:r w:rsidRPr="008F79E9">
        <w:t>select, prepare and apply correct undercoat and primer for a painted surface</w:t>
      </w:r>
    </w:p>
    <w:p w:rsidR="00000000" w:rsidRPr="008F79E9" w:rsidP="008F79E9">
      <w:pPr>
        <w:pStyle w:val="ListBullet"/>
      </w:pPr>
      <w:r w:rsidRPr="008F79E9">
        <w:t>apply paint using each of following application methods:</w:t>
      </w:r>
    </w:p>
    <w:p w:rsidR="00000000" w:rsidRPr="008F79E9" w:rsidP="008F79E9">
      <w:pPr>
        <w:pStyle w:val="ListBullet2"/>
      </w:pPr>
      <w:r w:rsidRPr="008F79E9">
        <w:t>brush paint</w:t>
      </w:r>
    </w:p>
    <w:p w:rsidR="00000000" w:rsidRPr="008F79E9" w:rsidP="008F79E9">
      <w:pPr>
        <w:pStyle w:val="ListBullet2"/>
      </w:pPr>
      <w:r w:rsidRPr="008F79E9">
        <w:t>roll paint</w:t>
      </w:r>
    </w:p>
    <w:p w:rsidR="00000000" w:rsidRPr="008F79E9" w:rsidP="008F79E9">
      <w:pPr>
        <w:pStyle w:val="ListBullet2"/>
      </w:pPr>
      <w:r w:rsidRPr="008F79E9">
        <w:t>spray paint</w:t>
      </w:r>
    </w:p>
    <w:p w:rsidR="00000000" w:rsidRPr="008F79E9" w:rsidP="008F79E9">
      <w:pPr>
        <w:pStyle w:val="ListBullet"/>
      </w:pPr>
      <w:r w:rsidRPr="008F79E9">
        <w:t>identify and rectify defects in paint application.</w:t>
      </w:r>
    </w:p>
    <w:p w:rsidR="00000000" w:rsidRPr="008F79E9" w:rsidP="008F79E9">
      <w:pPr>
        <w:pStyle w:val="AllowPageBreak"/>
      </w:pPr>
    </w:p>
    <w:p w:rsidR="00000000" w:rsidRPr="008F79E9" w:rsidP="008F79E9">
      <w:pPr>
        <w:pStyle w:val="Heading1"/>
      </w:pPr>
      <w:bookmarkStart w:id="3" w:name="O_832307"/>
      <w:bookmarkEnd w:id="3"/>
      <w:r w:rsidRPr="008F79E9">
        <w:t>Knowledge Evidence</w:t>
      </w:r>
    </w:p>
    <w:p w:rsidR="00000000" w:rsidRPr="008F79E9" w:rsidP="000F7CC2">
      <w:pPr>
        <w:pStyle w:val="BodyText"/>
      </w:pPr>
      <w:r w:rsidRPr="008F79E9">
        <w:t>A person demonstrating competency in this unit must demonstrate knowledge of:</w:t>
      </w:r>
    </w:p>
    <w:p w:rsidR="00000000" w:rsidRPr="008F79E9" w:rsidP="008F79E9">
      <w:pPr>
        <w:pStyle w:val="ListBullet"/>
      </w:pPr>
      <w:r w:rsidRPr="008F79E9">
        <w:t>range of coating types and their characteristics, including:</w:t>
      </w:r>
    </w:p>
    <w:p w:rsidR="00000000" w:rsidRPr="008F79E9" w:rsidP="008F79E9">
      <w:pPr>
        <w:pStyle w:val="ListBullet2"/>
      </w:pPr>
      <w:r w:rsidRPr="008F79E9">
        <w:t>acrylic lacquers and their t</w:t>
      </w:r>
      <w:r w:rsidRPr="008F79E9">
        <w:t>hinner or reducer</w:t>
      </w:r>
    </w:p>
    <w:p w:rsidR="00000000" w:rsidRPr="008F79E9" w:rsidP="008F79E9">
      <w:pPr>
        <w:pStyle w:val="ListBullet2"/>
      </w:pPr>
      <w:r w:rsidRPr="008F79E9">
        <w:t>clear finishes and their thinner</w:t>
      </w:r>
    </w:p>
    <w:p w:rsidR="00000000" w:rsidRPr="008F79E9" w:rsidP="008F79E9">
      <w:pPr>
        <w:pStyle w:val="ListBullet2"/>
      </w:pPr>
      <w:r w:rsidRPr="008F79E9">
        <w:t>oil-based paints and their solvents</w:t>
      </w:r>
    </w:p>
    <w:p w:rsidR="00000000" w:rsidRPr="008F79E9" w:rsidP="008F79E9">
      <w:pPr>
        <w:pStyle w:val="ListBullet2"/>
      </w:pPr>
      <w:r w:rsidRPr="008F79E9">
        <w:t>spraying enamel and its thinner</w:t>
      </w:r>
    </w:p>
    <w:p w:rsidR="00000000" w:rsidRPr="008F79E9" w:rsidP="008F79E9">
      <w:pPr>
        <w:pStyle w:val="ListBullet2"/>
      </w:pPr>
      <w:r w:rsidRPr="008F79E9">
        <w:t>two-pack paints and their thinner</w:t>
      </w:r>
    </w:p>
    <w:p w:rsidR="00000000" w:rsidRPr="008F79E9" w:rsidP="008F79E9">
      <w:pPr>
        <w:pStyle w:val="ListBullet2"/>
      </w:pPr>
      <w:r w:rsidRPr="008F79E9">
        <w:t>water-based paints and their thinner</w:t>
      </w:r>
    </w:p>
    <w:p w:rsidR="00000000" w:rsidRPr="008F79E9" w:rsidP="008F79E9">
      <w:pPr>
        <w:pStyle w:val="ListBullet"/>
      </w:pPr>
      <w:r w:rsidRPr="008F79E9">
        <w:t>range of undercoats and primers and their application to different surfaces, including:</w:t>
      </w:r>
    </w:p>
    <w:p w:rsidR="00000000" w:rsidRPr="008F79E9" w:rsidP="008F79E9">
      <w:pPr>
        <w:pStyle w:val="ListBullet2"/>
      </w:pPr>
      <w:r w:rsidRPr="008F79E9">
        <w:t>brick</w:t>
      </w:r>
    </w:p>
    <w:p w:rsidR="00000000" w:rsidRPr="008F79E9" w:rsidP="008F79E9">
      <w:pPr>
        <w:pStyle w:val="ListBullet2"/>
      </w:pPr>
      <w:r w:rsidRPr="008F79E9">
        <w:t>plasterboard</w:t>
      </w:r>
    </w:p>
    <w:p w:rsidR="00000000" w:rsidRPr="008F79E9" w:rsidP="008F79E9">
      <w:pPr>
        <w:pStyle w:val="ListBullet2"/>
      </w:pPr>
      <w:r w:rsidRPr="008F79E9">
        <w:t>metals</w:t>
      </w:r>
    </w:p>
    <w:p w:rsidR="00000000" w:rsidRPr="008F79E9" w:rsidP="008F79E9">
      <w:pPr>
        <w:pStyle w:val="ListBullet2"/>
      </w:pPr>
      <w:r w:rsidRPr="008F79E9">
        <w:t>plastics</w:t>
      </w:r>
    </w:p>
    <w:p w:rsidR="00000000" w:rsidRPr="008F79E9" w:rsidP="008F79E9">
      <w:pPr>
        <w:pStyle w:val="ListBullet"/>
      </w:pPr>
      <w:r w:rsidRPr="008F79E9">
        <w:t>purpose and application of the following when preparing surfaces for signs:</w:t>
      </w:r>
    </w:p>
    <w:p w:rsidR="00000000" w:rsidRPr="008F79E9" w:rsidP="008F79E9">
      <w:pPr>
        <w:pStyle w:val="ListBullet2"/>
      </w:pPr>
      <w:r w:rsidRPr="008F79E9">
        <w:t>manufacturer specifications relating to paint and othe</w:t>
      </w:r>
      <w:r w:rsidRPr="008F79E9">
        <w:t>r products used in surface preparation</w:t>
      </w:r>
    </w:p>
    <w:p w:rsidR="00000000" w:rsidRPr="008F79E9" w:rsidP="008F79E9">
      <w:pPr>
        <w:pStyle w:val="ListBullet2"/>
      </w:pPr>
      <w:r w:rsidRPr="008F79E9">
        <w:t>safety data sheets (SDS)</w:t>
      </w:r>
    </w:p>
    <w:p w:rsidR="00000000" w:rsidRPr="008F79E9" w:rsidP="008F79E9">
      <w:pPr>
        <w:pStyle w:val="ListBullet2"/>
      </w:pPr>
      <w:r w:rsidRPr="008F79E9">
        <w:t>safe work method statements (SWMS)</w:t>
      </w:r>
    </w:p>
    <w:p w:rsidR="00000000" w:rsidRPr="008F79E9" w:rsidP="008F79E9">
      <w:pPr>
        <w:pStyle w:val="ListBullet"/>
      </w:pPr>
      <w:r w:rsidRPr="008F79E9">
        <w:t xml:space="preserve">safety and environmental legislation, regulations and codes of practice applicable to working with paint and other products used in surface preparation </w:t>
      </w:r>
    </w:p>
    <w:p w:rsidR="00000000" w:rsidRPr="008F79E9" w:rsidP="008F79E9">
      <w:pPr>
        <w:pStyle w:val="ListBullet"/>
      </w:pPr>
      <w:r w:rsidRPr="008F79E9">
        <w:t>sta</w:t>
      </w:r>
      <w:r w:rsidRPr="008F79E9">
        <w:t>tutory and regulatory authority requirements, particularly those relating to:</w:t>
      </w:r>
    </w:p>
    <w:p w:rsidR="00000000" w:rsidRPr="008F79E9" w:rsidP="008F79E9">
      <w:pPr>
        <w:pStyle w:val="ListBullet2"/>
      </w:pPr>
      <w:r w:rsidRPr="008F79E9">
        <w:t>removal of waste products</w:t>
      </w:r>
    </w:p>
    <w:p w:rsidR="00000000" w:rsidRPr="008F79E9" w:rsidP="008F79E9">
      <w:pPr>
        <w:pStyle w:val="ListBullet2"/>
      </w:pPr>
      <w:r w:rsidRPr="008F79E9">
        <w:t>storage of chemicals.</w:t>
      </w:r>
    </w:p>
    <w:p w:rsidR="00000000" w:rsidRPr="008F79E9" w:rsidP="008F79E9">
      <w:pPr>
        <w:pStyle w:val="AllowPageBreak"/>
      </w:pPr>
    </w:p>
    <w:p w:rsidR="00000000" w:rsidRPr="008F79E9" w:rsidP="008F79E9">
      <w:pPr>
        <w:pStyle w:val="Heading1"/>
      </w:pPr>
      <w:bookmarkStart w:id="4" w:name="O_832306"/>
      <w:bookmarkEnd w:id="4"/>
      <w:r w:rsidRPr="008F79E9">
        <w:t>Assessment Conditions</w:t>
      </w:r>
    </w:p>
    <w:p w:rsidR="00000000" w:rsidRPr="008F79E9" w:rsidP="000F7CC2">
      <w:pPr>
        <w:pStyle w:val="BodyText"/>
      </w:pPr>
      <w:r w:rsidRPr="008F79E9">
        <w:t>Suitable assessment of performance requires:</w:t>
      </w:r>
    </w:p>
    <w:p w:rsidR="00000000" w:rsidRPr="008F79E9" w:rsidP="008F79E9">
      <w:pPr>
        <w:pStyle w:val="ListBullet"/>
      </w:pPr>
      <w:r w:rsidRPr="008F79E9">
        <w:t>equipment:</w:t>
      </w:r>
    </w:p>
    <w:p w:rsidR="00000000" w:rsidRPr="008F79E9" w:rsidP="008F79E9">
      <w:pPr>
        <w:pStyle w:val="ListBullet2"/>
      </w:pPr>
      <w:r w:rsidRPr="008F79E9">
        <w:t>air compressor</w:t>
      </w:r>
    </w:p>
    <w:p w:rsidR="00000000" w:rsidRPr="008F79E9" w:rsidP="008F79E9">
      <w:pPr>
        <w:pStyle w:val="ListBullet2"/>
      </w:pPr>
      <w:r w:rsidRPr="008F79E9">
        <w:t>brushware</w:t>
      </w:r>
    </w:p>
    <w:p w:rsidR="00000000" w:rsidRPr="008F79E9" w:rsidP="008F79E9">
      <w:pPr>
        <w:pStyle w:val="ListBullet2"/>
      </w:pPr>
      <w:r w:rsidRPr="008F79E9">
        <w:t>ladders or other equipment used to provide safe access to work area</w:t>
      </w:r>
    </w:p>
    <w:p w:rsidR="00000000" w:rsidRPr="008F79E9" w:rsidP="008F79E9">
      <w:pPr>
        <w:pStyle w:val="ListBullet2"/>
      </w:pPr>
      <w:r w:rsidRPr="008F79E9">
        <w:t>roller and roller sleeve</w:t>
      </w:r>
    </w:p>
    <w:p w:rsidR="00000000" w:rsidRPr="008F79E9" w:rsidP="008F79E9">
      <w:pPr>
        <w:pStyle w:val="ListBullet2"/>
      </w:pPr>
      <w:r w:rsidRPr="008F79E9">
        <w:t>spray gun</w:t>
      </w:r>
    </w:p>
    <w:p w:rsidR="00000000" w:rsidRPr="008F79E9" w:rsidP="008F79E9">
      <w:pPr>
        <w:pStyle w:val="ListBullet"/>
      </w:pPr>
      <w:r w:rsidRPr="008F79E9">
        <w:t>materials:</w:t>
      </w:r>
    </w:p>
    <w:p w:rsidR="00000000" w:rsidRPr="008F79E9" w:rsidP="008F79E9">
      <w:pPr>
        <w:pStyle w:val="ListBullet2"/>
      </w:pPr>
      <w:r w:rsidRPr="008F79E9">
        <w:t>cleaners as listed in the range of conditions</w:t>
      </w:r>
    </w:p>
    <w:p w:rsidR="00000000" w:rsidRPr="008F79E9" w:rsidP="008F79E9">
      <w:pPr>
        <w:pStyle w:val="ListBullet2"/>
      </w:pPr>
      <w:r w:rsidRPr="008F79E9">
        <w:t>primers appropriate to the surface</w:t>
      </w:r>
    </w:p>
    <w:p w:rsidR="00000000" w:rsidRPr="008F79E9" w:rsidP="008F79E9">
      <w:pPr>
        <w:pStyle w:val="ListBullet2"/>
      </w:pPr>
      <w:r w:rsidRPr="008F79E9">
        <w:t>undercoats appropriate to the surface</w:t>
      </w:r>
    </w:p>
    <w:p w:rsidR="00000000" w:rsidRPr="008F79E9" w:rsidP="008F79E9">
      <w:pPr>
        <w:pStyle w:val="ListBullet"/>
      </w:pPr>
      <w:r w:rsidRPr="008F79E9">
        <w:t>specifications:</w:t>
      </w:r>
    </w:p>
    <w:p w:rsidR="00000000" w:rsidRPr="008F79E9" w:rsidP="008F79E9">
      <w:pPr>
        <w:pStyle w:val="ListBullet2"/>
      </w:pPr>
      <w:r w:rsidRPr="008F79E9">
        <w:t>range of surfaces to prepare as specified in the performance evidence</w:t>
      </w:r>
    </w:p>
    <w:p w:rsidR="00000000" w:rsidRPr="008F79E9" w:rsidP="008F79E9">
      <w:pPr>
        <w:pStyle w:val="ListBullet2"/>
      </w:pPr>
      <w:r w:rsidRPr="008F79E9">
        <w:t>work instructions or drawings appropriate to the task</w:t>
      </w:r>
    </w:p>
    <w:p w:rsidR="00000000" w:rsidRPr="008F79E9" w:rsidP="008F79E9">
      <w:pPr>
        <w:pStyle w:val="ListBullet"/>
      </w:pPr>
      <w:r w:rsidRPr="008F79E9">
        <w:t>physical conditions:</w:t>
      </w:r>
    </w:p>
    <w:p w:rsidR="00000000" w:rsidRPr="008F79E9" w:rsidP="008F79E9">
      <w:pPr>
        <w:pStyle w:val="ListBullet2"/>
      </w:pPr>
      <w:r w:rsidRPr="008F79E9">
        <w:t>work may be conducted indoors and outdoors</w:t>
      </w:r>
    </w:p>
    <w:p w:rsidR="00000000" w:rsidRPr="008F79E9" w:rsidP="008F79E9">
      <w:pPr>
        <w:pStyle w:val="ListBullet"/>
      </w:pPr>
      <w:r w:rsidRPr="008F79E9">
        <w:t>relationship with client:</w:t>
      </w:r>
    </w:p>
    <w:p w:rsidR="00000000" w:rsidRPr="008F79E9" w:rsidP="008F79E9">
      <w:pPr>
        <w:pStyle w:val="ListBullet2"/>
      </w:pPr>
      <w:r w:rsidRPr="008F79E9">
        <w:t>sufficient to check and confirm job re</w:t>
      </w:r>
      <w:r w:rsidRPr="008F79E9">
        <w:t>quirements</w:t>
      </w:r>
    </w:p>
    <w:p w:rsidR="00000000" w:rsidRPr="008F79E9" w:rsidP="008F79E9">
      <w:pPr>
        <w:pStyle w:val="ListBullet"/>
      </w:pPr>
      <w:r w:rsidRPr="008F79E9">
        <w:t>relationships with team members:</w:t>
      </w:r>
    </w:p>
    <w:p w:rsidR="00000000" w:rsidRPr="008F79E9" w:rsidP="008F79E9">
      <w:pPr>
        <w:pStyle w:val="ListBullet2"/>
      </w:pPr>
      <w:r w:rsidRPr="008F79E9">
        <w:t>work may be conducted alone or with others</w:t>
      </w:r>
    </w:p>
    <w:p w:rsidR="00000000" w:rsidRPr="008F79E9" w:rsidP="008F79E9">
      <w:pPr>
        <w:pStyle w:val="ListBullet"/>
      </w:pPr>
      <w:r w:rsidRPr="008F79E9">
        <w:t>timeframe:</w:t>
      </w:r>
    </w:p>
    <w:p w:rsidR="00000000" w:rsidRPr="008F79E9" w:rsidP="008F79E9">
      <w:pPr>
        <w:pStyle w:val="ListBullet2"/>
      </w:pPr>
      <w:r w:rsidRPr="008F79E9">
        <w:t>according to job requirements.</w:t>
      </w:r>
    </w:p>
    <w:p w:rsidR="00000000" w:rsidRPr="008F79E9" w:rsidP="008F79E9">
      <w:pPr>
        <w:pStyle w:val="BodyText"/>
      </w:pPr>
    </w:p>
    <w:p w:rsidR="00000000" w:rsidRPr="008F79E9" w:rsidP="000F7CC2">
      <w:pPr>
        <w:pStyle w:val="Heading3"/>
      </w:pPr>
      <w:r w:rsidRPr="008F79E9">
        <w:rPr>
          <w:rStyle w:val="SpecialBold"/>
        </w:rPr>
        <w:t>Assessor requirements</w:t>
      </w:r>
    </w:p>
    <w:p w:rsidR="00000000" w:rsidRPr="008F79E9" w:rsidP="000F7CC2">
      <w:pPr>
        <w:pStyle w:val="BodyText"/>
      </w:pPr>
      <w:r w:rsidRPr="008F79E9">
        <w:t xml:space="preserve">As a minimum, assessors must satisfy the assessor requirements in the Standards for Registered Training Organisations (RTOs) current at the time of assessment. </w:t>
      </w:r>
    </w:p>
    <w:p w:rsidR="00000000" w:rsidRPr="008F79E9" w:rsidP="008F79E9">
      <w:pPr>
        <w:pStyle w:val="Heading1"/>
      </w:pPr>
      <w:bookmarkStart w:id="5" w:name="O_832304"/>
      <w:bookmarkEnd w:id="5"/>
      <w:r w:rsidRPr="008F79E9">
        <w:t>Links</w:t>
      </w:r>
    </w:p>
    <w:p w:rsidR="00000000" w:rsidRPr="008F79E9" w:rsidP="000F7CC2">
      <w:pPr>
        <w:pStyle w:val="BodyText"/>
      </w:pPr>
      <w:r w:rsidRPr="008F7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0F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79E9" w:rsidP="008F79E9"/>
    <w:sectPr w:rsidSect="008F7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E9" w:rsidRPr="000F7CC2" w:rsidP="000F7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C2" w:rsidP="008F7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CC2" w:rsidP="008F7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F7CC2" w:rsidP="008F7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9E9" w:rsidRPr="000F7CC2" w:rsidP="000F7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C2" w:rsidRPr="002D2AF8" w:rsidP="008F7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CPCCSG3016 Prepare surfaces for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F7CC2" w:rsidP="008F7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06F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CF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CA4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9E9"/>
  </w:style>
  <w:style w:type="character" w:customStyle="1" w:styleId="Heading1Char">
    <w:name w:val="Heading 1 Char"/>
    <w:basedOn w:val="DefaultParagraphFont"/>
    <w:link w:val="Heading1"/>
    <w:rsid w:val="008F7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9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9E9"/>
    <w:rPr>
      <w:b/>
      <w:spacing w:val="0"/>
    </w:rPr>
  </w:style>
  <w:style w:type="paragraph" w:styleId="ListBullet2">
    <w:name w:val="List Bullet 2"/>
    <w:basedOn w:val="List2"/>
    <w:rsid w:val="008F79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9E9"/>
    <w:rPr>
      <w:i/>
    </w:rPr>
  </w:style>
  <w:style w:type="paragraph" w:styleId="Caption">
    <w:name w:val="caption"/>
    <w:basedOn w:val="BodyText"/>
    <w:next w:val="Normal"/>
    <w:qFormat/>
    <w:rsid w:val="008F7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9E9"/>
  </w:style>
  <w:style w:type="paragraph" w:styleId="TableofFigures">
    <w:name w:val="table of figures"/>
    <w:basedOn w:val="Normal"/>
    <w:next w:val="Normal"/>
    <w:semiHidden/>
    <w:rsid w:val="008F7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9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79E9"/>
    <w:rPr>
      <w:rFonts w:ascii="Wingdings" w:hAnsi="Wingdings"/>
    </w:rPr>
  </w:style>
  <w:style w:type="paragraph" w:customStyle="1" w:styleId="TableHeading">
    <w:name w:val="Table Heading"/>
    <w:basedOn w:val="HeadingBase"/>
    <w:rsid w:val="008F7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9E9"/>
    <w:rPr>
      <w:color w:val="0033CC"/>
      <w:u w:val="none"/>
    </w:rPr>
  </w:style>
  <w:style w:type="paragraph" w:customStyle="1" w:styleId="BodyTextRight">
    <w:name w:val="Body Text Right"/>
    <w:basedOn w:val="BodyText"/>
    <w:rsid w:val="008F7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9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9E9"/>
    <w:rPr>
      <w:sz w:val="32"/>
    </w:rPr>
  </w:style>
  <w:style w:type="paragraph" w:customStyle="1" w:styleId="HeadingProcedure">
    <w:name w:val="Heading Procedure"/>
    <w:basedOn w:val="HeadingBase"/>
    <w:next w:val="Normal"/>
    <w:rsid w:val="008F7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9E9"/>
    <w:pPr>
      <w:spacing w:before="60" w:after="60"/>
    </w:pPr>
  </w:style>
  <w:style w:type="paragraph" w:styleId="ListContinue">
    <w:name w:val="List Continue"/>
    <w:basedOn w:val="List"/>
    <w:rsid w:val="008F79E9"/>
    <w:pPr>
      <w:ind w:firstLine="0"/>
    </w:pPr>
  </w:style>
  <w:style w:type="paragraph" w:customStyle="1" w:styleId="ListNote">
    <w:name w:val="List Note"/>
    <w:basedOn w:val="List"/>
    <w:rsid w:val="008F7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9E9"/>
    <w:rPr>
      <w:rFonts w:ascii="Courier New" w:hAnsi="Courier New"/>
    </w:rPr>
  </w:style>
  <w:style w:type="paragraph" w:customStyle="1" w:styleId="NoteBullet">
    <w:name w:val="Note Bullet"/>
    <w:basedOn w:val="Note"/>
    <w:rsid w:val="008F7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9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7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9E9"/>
    <w:rPr>
      <w:b/>
      <w:smallCaps/>
    </w:rPr>
  </w:style>
  <w:style w:type="paragraph" w:customStyle="1" w:styleId="TableListNumber">
    <w:name w:val="Table List Number"/>
    <w:basedOn w:val="ListNumber"/>
    <w:rsid w:val="008F7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9E9"/>
    <w:pPr>
      <w:numPr>
        <w:numId w:val="9"/>
      </w:numPr>
    </w:pPr>
  </w:style>
  <w:style w:type="paragraph" w:customStyle="1" w:styleId="ListAlpha2">
    <w:name w:val="List Alpha 2"/>
    <w:basedOn w:val="List2"/>
    <w:rsid w:val="008F79E9"/>
    <w:pPr>
      <w:numPr>
        <w:numId w:val="8"/>
      </w:numPr>
    </w:pPr>
  </w:style>
  <w:style w:type="paragraph" w:styleId="List2">
    <w:name w:val="List 2"/>
    <w:basedOn w:val="BodyText"/>
    <w:rsid w:val="008F7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9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9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9E9"/>
    <w:pPr>
      <w:numPr>
        <w:numId w:val="4"/>
      </w:numPr>
    </w:pPr>
  </w:style>
  <w:style w:type="paragraph" w:styleId="ListContinue2">
    <w:name w:val="List Continue 2"/>
    <w:basedOn w:val="List2"/>
    <w:rsid w:val="008F79E9"/>
    <w:pPr>
      <w:ind w:firstLine="0"/>
    </w:pPr>
  </w:style>
  <w:style w:type="paragraph" w:styleId="ListContinue3">
    <w:name w:val="List Continue 3"/>
    <w:basedOn w:val="List3"/>
    <w:rsid w:val="008F79E9"/>
    <w:pPr>
      <w:ind w:left="1021" w:firstLine="0"/>
    </w:pPr>
  </w:style>
  <w:style w:type="paragraph" w:styleId="ListContinue4">
    <w:name w:val="List Continue 4"/>
    <w:basedOn w:val="List4"/>
    <w:rsid w:val="008F79E9"/>
    <w:pPr>
      <w:ind w:firstLine="0"/>
    </w:pPr>
  </w:style>
  <w:style w:type="paragraph" w:styleId="ListContinue5">
    <w:name w:val="List Continue 5"/>
    <w:basedOn w:val="List5"/>
    <w:rsid w:val="008F79E9"/>
    <w:pPr>
      <w:ind w:firstLine="0"/>
    </w:pPr>
  </w:style>
  <w:style w:type="paragraph" w:styleId="ListNumber3">
    <w:name w:val="List Number 3"/>
    <w:basedOn w:val="List3"/>
    <w:rsid w:val="008F79E9"/>
    <w:pPr>
      <w:numPr>
        <w:numId w:val="5"/>
      </w:numPr>
    </w:pPr>
  </w:style>
  <w:style w:type="paragraph" w:styleId="ListNumber4">
    <w:name w:val="List Number 4"/>
    <w:basedOn w:val="List4"/>
    <w:rsid w:val="008F79E9"/>
    <w:pPr>
      <w:numPr>
        <w:numId w:val="6"/>
      </w:numPr>
    </w:pPr>
  </w:style>
  <w:style w:type="paragraph" w:styleId="ListNumber5">
    <w:name w:val="List Number 5"/>
    <w:basedOn w:val="List5"/>
    <w:rsid w:val="008F79E9"/>
    <w:pPr>
      <w:numPr>
        <w:numId w:val="7"/>
      </w:numPr>
    </w:pPr>
  </w:style>
  <w:style w:type="paragraph" w:styleId="BlockText">
    <w:name w:val="Block Text"/>
    <w:basedOn w:val="Normal"/>
    <w:rsid w:val="008F7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9E9"/>
    <w:rPr>
      <w:sz w:val="16"/>
      <w:vertAlign w:val="superscript"/>
    </w:rPr>
  </w:style>
  <w:style w:type="character" w:customStyle="1" w:styleId="Symbols">
    <w:name w:val="Symbols"/>
    <w:basedOn w:val="DefaultParagraphFont"/>
    <w:rsid w:val="008F79E9"/>
    <w:rPr>
      <w:rFonts w:ascii="Symbol" w:hAnsi="Symbol"/>
    </w:rPr>
  </w:style>
  <w:style w:type="character" w:customStyle="1" w:styleId="MenuOptions">
    <w:name w:val="Menu Options"/>
    <w:basedOn w:val="DefaultParagraphFont"/>
    <w:rsid w:val="008F7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9E9"/>
    <w:rPr>
      <w:b/>
    </w:rPr>
  </w:style>
  <w:style w:type="character" w:customStyle="1" w:styleId="Underlined">
    <w:name w:val="Underlined"/>
    <w:basedOn w:val="DefaultParagraphFont"/>
    <w:rsid w:val="008F79E9"/>
    <w:rPr>
      <w:u w:val="single"/>
    </w:rPr>
  </w:style>
  <w:style w:type="paragraph" w:customStyle="1" w:styleId="TableBodyTextRight">
    <w:name w:val="Table Body Text Right"/>
    <w:basedOn w:val="TableBodyText"/>
    <w:rsid w:val="008F7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9E9"/>
    <w:rPr>
      <w:sz w:val="18"/>
    </w:rPr>
  </w:style>
  <w:style w:type="paragraph" w:customStyle="1" w:styleId="BodySmallRight">
    <w:name w:val="Body Small Right"/>
    <w:basedOn w:val="BodyTextRight"/>
    <w:rsid w:val="008F79E9"/>
    <w:rPr>
      <w:sz w:val="18"/>
      <w:szCs w:val="18"/>
    </w:rPr>
  </w:style>
  <w:style w:type="paragraph" w:customStyle="1" w:styleId="MarginEdition">
    <w:name w:val="Margin Edition"/>
    <w:basedOn w:val="MarginNote"/>
    <w:rsid w:val="008F7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9E9"/>
    <w:rPr>
      <w:sz w:val="2"/>
      <w:szCs w:val="2"/>
    </w:rPr>
  </w:style>
  <w:style w:type="character" w:customStyle="1" w:styleId="Small">
    <w:name w:val="Small"/>
    <w:basedOn w:val="DefaultParagraphFont"/>
    <w:rsid w:val="008F79E9"/>
    <w:rPr>
      <w:sz w:val="16"/>
    </w:rPr>
  </w:style>
  <w:style w:type="paragraph" w:customStyle="1" w:styleId="WideTable">
    <w:name w:val="Wide Table"/>
    <w:basedOn w:val="Normal"/>
    <w:rsid w:val="008F7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9E9"/>
  </w:style>
  <w:style w:type="paragraph" w:styleId="Quote">
    <w:name w:val="Quote"/>
    <w:basedOn w:val="Heading1"/>
    <w:link w:val="QuoteChar"/>
    <w:qFormat/>
    <w:rsid w:val="008F7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9E9"/>
    <w:pPr>
      <w:pageBreakBefore/>
    </w:pPr>
  </w:style>
  <w:style w:type="paragraph" w:customStyle="1" w:styleId="Border">
    <w:name w:val="Border"/>
    <w:basedOn w:val="Normal"/>
    <w:qFormat/>
    <w:rsid w:val="008F7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9E9"/>
    <w:rPr>
      <w:u w:val="single"/>
    </w:rPr>
  </w:style>
  <w:style w:type="character" w:customStyle="1" w:styleId="BoldandItalics">
    <w:name w:val="Bold and Italics"/>
    <w:qFormat/>
    <w:rsid w:val="008F79E9"/>
    <w:rPr>
      <w:b/>
      <w:i/>
      <w:u w:val="none"/>
    </w:rPr>
  </w:style>
  <w:style w:type="paragraph" w:styleId="BalloonText">
    <w:name w:val="Balloon Text"/>
    <w:basedOn w:val="Normal"/>
    <w:link w:val="BalloonTextChar"/>
    <w:rsid w:val="008F7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9E9"/>
    <w:pPr>
      <w:spacing w:before="0" w:after="0"/>
    </w:pPr>
  </w:style>
  <w:style w:type="paragraph" w:customStyle="1" w:styleId="BodyTextBold">
    <w:name w:val="Body Text Bold"/>
    <w:basedOn w:val="BodyText"/>
    <w:qFormat/>
    <w:rsid w:val="008F79E9"/>
    <w:rPr>
      <w:b/>
    </w:rPr>
  </w:style>
  <w:style w:type="character" w:styleId="Hyperlink">
    <w:name w:val="Hyperlink"/>
    <w:basedOn w:val="DefaultParagraphFont"/>
    <w:uiPriority w:val="99"/>
    <w:unhideWhenUsed/>
    <w:rsid w:val="000F7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2842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CPCCSG3016 Prepare surfaces for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