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0C4" w:rsidP="00DA40C4">
      <w:pPr>
        <w:pStyle w:val="Title"/>
      </w:pPr>
      <w:r>
        <w:fldChar w:fldCharType="begin"/>
      </w:r>
      <w:r>
        <w:instrText xml:space="preserve"> TITLE   \* MERGEFORMAT </w:instrText>
      </w:r>
      <w:r>
        <w:fldChar w:fldCharType="separate"/>
      </w:r>
      <w:r>
        <w:t>CPCCSG3014 Manufacture gas-charged glass-formed illuminated signs</w:t>
      </w:r>
      <w:r>
        <w:fldChar w:fldCharType="end"/>
      </w:r>
    </w:p>
    <w:p w:rsidR="00DA40C4" w:rsidP="00DA40C4">
      <w:pPr>
        <w:pStyle w:val="Version"/>
        <w:sectPr w:rsidSect="000B5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EBA" w:rsidP="000B5EBA">
      <w:pPr>
        <w:pStyle w:val="SuperHeading"/>
      </w:pPr>
      <w:r w:rsidRPr="000B5EBA">
        <w:t>CPCCSG3014 Manufacture gas-charged glass-formed illuminated signs</w:t>
      </w:r>
    </w:p>
    <w:p w:rsidR="00000000" w:rsidRPr="000B5EBA" w:rsidP="000B5EBA">
      <w:pPr>
        <w:pStyle w:val="Heading1"/>
      </w:pPr>
      <w:bookmarkStart w:id="1" w:name="O_832271"/>
      <w:bookmarkEnd w:id="1"/>
      <w:r w:rsidRPr="000B5EBA">
        <w:t>Modification History</w:t>
      </w:r>
    </w:p>
    <w:p w:rsidR="00000000" w:rsidRPr="000B5EBA" w:rsidP="00DA40C4">
      <w:pPr>
        <w:pStyle w:val="BodyText"/>
      </w:pPr>
      <w:r w:rsidRPr="000B5EBA">
        <w:t>Release 1.</w:t>
      </w:r>
    </w:p>
    <w:p w:rsidR="00000000" w:rsidRPr="000B5EBA" w:rsidP="00DA40C4">
      <w:pPr>
        <w:pStyle w:val="BodyText"/>
      </w:pPr>
      <w:r w:rsidRPr="000B5EBA">
        <w:t>This version first released with CPC Construction, Plumbing and Services Training Package Version 2.</w:t>
      </w:r>
    </w:p>
    <w:p w:rsidR="00000000" w:rsidRPr="000B5EBA" w:rsidP="00DA40C4">
      <w:pPr>
        <w:pStyle w:val="BodyText"/>
      </w:pPr>
      <w:r w:rsidRPr="000B5EBA">
        <w:t>Revised unit of competency. Replaces superseded equivalent CPCCSI3014A Manufacture gas-charged glass-formed illuminated signage.</w:t>
      </w:r>
    </w:p>
    <w:p w:rsidR="00000000" w:rsidRPr="000B5EBA" w:rsidP="000B5EBA">
      <w:pPr>
        <w:pStyle w:val="Heading1"/>
      </w:pPr>
      <w:bookmarkStart w:id="2" w:name="O_832279"/>
      <w:bookmarkEnd w:id="2"/>
      <w:r w:rsidRPr="000B5EBA">
        <w:t>Application</w:t>
      </w:r>
    </w:p>
    <w:p w:rsidR="00000000" w:rsidRPr="000B5EBA" w:rsidP="00DA40C4">
      <w:pPr>
        <w:pStyle w:val="BodyText"/>
      </w:pPr>
      <w:r w:rsidRPr="000B5EBA">
        <w:t xml:space="preserve">This unit of competency specifies the outcomes required to form glass tubes into specific shapes, </w:t>
      </w:r>
      <w:r w:rsidRPr="000B5EBA">
        <w:t>fill them with gas, and provide a source of power to the tubes to produce illuminated signs commonly referred to as neon signs. It covers using tools and equipment to shape the glass tubes, and then attaching electrodes and pumping gas through the tubes be</w:t>
      </w:r>
      <w:r w:rsidRPr="000B5EBA">
        <w:t>fore sealing and powering up the signs for display. It also covers installing the sign to a backing for display purposes and maximum visual effect.</w:t>
      </w:r>
    </w:p>
    <w:p w:rsidR="00000000" w:rsidRPr="000B5EBA" w:rsidP="00DA40C4">
      <w:pPr>
        <w:pStyle w:val="BodyText"/>
      </w:pPr>
      <w:r w:rsidRPr="000B5EBA">
        <w:t xml:space="preserve">The unit supports sign manufacturers who produce illuminated signs using neon gas. </w:t>
      </w:r>
    </w:p>
    <w:p w:rsidR="00000000" w:rsidRPr="000B5EBA" w:rsidP="00DA40C4">
      <w:pPr>
        <w:pStyle w:val="BodyText"/>
      </w:pPr>
      <w:r w:rsidRPr="000B5EBA">
        <w:t>No licensing, legislat</w:t>
      </w:r>
      <w:r w:rsidRPr="000B5EBA">
        <w:t>ive, regulatory or certification requirements apply to this unit of competency at the time of endorsement.</w:t>
      </w:r>
    </w:p>
    <w:p w:rsidR="00000000" w:rsidRPr="000B5EBA" w:rsidP="000B5EBA">
      <w:pPr>
        <w:pStyle w:val="Heading1"/>
      </w:pPr>
      <w:bookmarkStart w:id="3" w:name="O_832278"/>
      <w:bookmarkEnd w:id="3"/>
      <w:r w:rsidRPr="000B5EBA">
        <w:t>Pre-requisite Unit</w:t>
      </w:r>
    </w:p>
    <w:p w:rsidR="00000000" w:rsidRPr="000B5EBA" w:rsidP="00DA40C4">
      <w:pPr>
        <w:pStyle w:val="BodyText"/>
      </w:pPr>
      <w:r w:rsidRPr="000B5EBA">
        <w:t>Nil</w:t>
      </w:r>
    </w:p>
    <w:p w:rsidR="00000000" w:rsidRPr="000B5EBA" w:rsidP="000B5EBA">
      <w:pPr>
        <w:pStyle w:val="Heading1"/>
      </w:pPr>
      <w:bookmarkStart w:id="4" w:name="O_832277"/>
      <w:bookmarkEnd w:id="4"/>
      <w:r w:rsidRPr="000B5EBA">
        <w:t>Competency Field</w:t>
      </w:r>
    </w:p>
    <w:p w:rsidR="00000000" w:rsidRPr="000B5EBA" w:rsidP="00DA40C4">
      <w:pPr>
        <w:pStyle w:val="BodyText"/>
      </w:pPr>
      <w:r w:rsidRPr="000B5EBA">
        <w:t>Signs and graphics</w:t>
      </w:r>
    </w:p>
    <w:p w:rsidR="00000000" w:rsidRPr="000B5EBA" w:rsidP="000B5EBA">
      <w:pPr>
        <w:pStyle w:val="Heading1"/>
      </w:pPr>
      <w:bookmarkStart w:id="5" w:name="O_832276"/>
      <w:bookmarkEnd w:id="5"/>
      <w:r w:rsidRPr="000B5EBA">
        <w:t>Unit Sector</w:t>
      </w:r>
    </w:p>
    <w:p w:rsidR="00000000" w:rsidRPr="000B5EBA" w:rsidP="00DA40C4">
      <w:pPr>
        <w:pStyle w:val="BodyText"/>
      </w:pPr>
      <w:r w:rsidRPr="000B5EBA">
        <w:t>Construction</w:t>
      </w:r>
    </w:p>
    <w:p w:rsidR="00000000" w:rsidRPr="000B5EBA" w:rsidP="000B5EBA">
      <w:pPr>
        <w:pStyle w:val="Heading1"/>
      </w:pPr>
      <w:bookmarkStart w:id="6" w:name="O_832275"/>
      <w:bookmarkEnd w:id="6"/>
      <w:r w:rsidRPr="000B5EB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B5EB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 xml:space="preserve">Performance criteria describe the performance needed to demonstrate achievement of the element. Where bold italicised text is used, further information is </w:t>
            </w:r>
            <w:r w:rsidRPr="000B5EBA">
              <w:t>detailed in the range of conditions.</w:t>
            </w:r>
          </w:p>
        </w:tc>
      </w:tr>
      <w:tr w:rsidTr="000B5EB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0B5EBA">
            <w:pPr>
              <w:pStyle w:val="BodyText"/>
              <w:rPr>
                <w:lang w:val="en-NZ"/>
              </w:rPr>
            </w:pP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1</w:t>
            </w:r>
          </w:p>
        </w:tc>
        <w:tc>
          <w:tcPr>
            <w:tcW w:w="1986" w:type="dxa"/>
            <w:vMerge w:val="restart"/>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Plan and prepare work.</w:t>
            </w: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1.1</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 xml:space="preserve">Job requirements are identified from drawings and specifications. </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1.2</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Sequence of tasks required is determined and confirmed with relevant personnel.</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1.3</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Tools and equipment are selected to carry out tasks according to job requirements, checked for serviceability, and faults are rectified or reported before starting work.</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t>1.4</w:t>
            </w:r>
          </w:p>
        </w:tc>
        <w:tc>
          <w:tcPr>
            <w:tcW w:w="5678"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rPr>
                <w:rStyle w:val="BoldandItalics"/>
              </w:rPr>
              <w:t>Health and safety requirements</w:t>
            </w:r>
            <w:r w:rsidRPr="000B5EBA">
              <w:t xml:space="preserve"> are identified and applied to planning.</w:t>
            </w:r>
          </w:p>
        </w:tc>
      </w:tr>
    </w:tbl>
    <w:p w:rsidR="00000000" w:rsidRPr="000B5EBA" w:rsidP="000B5EBA">
      <w:pPr>
        <w:pStyle w:val="BodyText"/>
      </w:pPr>
    </w:p>
    <w:tbl>
      <w:tblPr>
        <w:tblW w:w="0" w:type="auto"/>
        <w:tblLayout w:type="fixed"/>
        <w:tblCellMar>
          <w:left w:w="62" w:type="dxa"/>
          <w:right w:w="62" w:type="dxa"/>
        </w:tblCellMar>
        <w:tblLook w:val="0000"/>
      </w:tblPr>
      <w:tblGrid>
        <w:gridCol w:w="686"/>
        <w:gridCol w:w="1985"/>
        <w:gridCol w:w="779"/>
        <w:gridCol w:w="5678"/>
      </w:tblGrid>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2</w:t>
            </w:r>
          </w:p>
        </w:tc>
        <w:tc>
          <w:tcPr>
            <w:tcW w:w="1985" w:type="dxa"/>
            <w:vMerge w:val="restart"/>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Mark</w:t>
            </w:r>
            <w:r w:rsidRPr="000B5EBA">
              <w:t xml:space="preserve"> out design.</w:t>
            </w: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2.1</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Design is set out to scale on fire retardant sheeting using layout methods according to job requirements.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2.2</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Sections are calculated and marked out to design specifications.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2.3</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Joint locations are determined from layout and marked out on pattern.</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2.4</w:t>
            </w:r>
          </w:p>
        </w:tc>
        <w:tc>
          <w:tcPr>
            <w:tcW w:w="5678"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t>Electrodes are marked out to indicate double backed or right angled position.</w:t>
            </w:r>
          </w:p>
        </w:tc>
      </w:tr>
    </w:tbl>
    <w:p w:rsidR="00000000" w:rsidRPr="000B5EBA" w:rsidP="000B5EBA">
      <w:pPr>
        <w:pStyle w:val="BodyText"/>
      </w:pPr>
    </w:p>
    <w:tbl>
      <w:tblPr>
        <w:tblW w:w="0" w:type="auto"/>
        <w:tblLayout w:type="fixed"/>
        <w:tblCellMar>
          <w:left w:w="62" w:type="dxa"/>
          <w:right w:w="62" w:type="dxa"/>
        </w:tblCellMar>
        <w:tblLook w:val="0000"/>
      </w:tblPr>
      <w:tblGrid>
        <w:gridCol w:w="686"/>
        <w:gridCol w:w="1985"/>
        <w:gridCol w:w="779"/>
        <w:gridCol w:w="5678"/>
      </w:tblGrid>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3</w:t>
            </w:r>
          </w:p>
        </w:tc>
        <w:tc>
          <w:tcPr>
            <w:tcW w:w="1985" w:type="dxa"/>
            <w:vMerge w:val="restart"/>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Bend glass.</w:t>
            </w: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3.1</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Glass is heated over a gas flame until pliable.</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3.2</w:t>
            </w:r>
          </w:p>
        </w:tc>
        <w:tc>
          <w:tcPr>
            <w:tcW w:w="5678"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t>Glass is bent to form shape consistent with pattern and specifications, and any errors in shaping are rectified.</w:t>
            </w:r>
          </w:p>
        </w:tc>
      </w:tr>
    </w:tbl>
    <w:p w:rsidR="00000000" w:rsidRPr="000B5EBA" w:rsidP="000B5EBA">
      <w:pPr>
        <w:pStyle w:val="BodyText"/>
      </w:pPr>
    </w:p>
    <w:tbl>
      <w:tblPr>
        <w:tblW w:w="0" w:type="auto"/>
        <w:tblLayout w:type="fixed"/>
        <w:tblCellMar>
          <w:left w:w="62" w:type="dxa"/>
          <w:right w:w="62" w:type="dxa"/>
        </w:tblCellMar>
        <w:tblLook w:val="0000"/>
      </w:tblPr>
      <w:tblGrid>
        <w:gridCol w:w="686"/>
        <w:gridCol w:w="1985"/>
        <w:gridCol w:w="779"/>
        <w:gridCol w:w="5678"/>
      </w:tblGrid>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4</w:t>
            </w:r>
          </w:p>
        </w:tc>
        <w:tc>
          <w:tcPr>
            <w:tcW w:w="1985" w:type="dxa"/>
            <w:vMerge w:val="restart"/>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Attach electrodes and connect glass.</w:t>
            </w: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4.1</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Electrodes are attached to pattern specification and requirements of Australian standards.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4.2</w:t>
            </w:r>
          </w:p>
        </w:tc>
        <w:tc>
          <w:tcPr>
            <w:tcW w:w="5678"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t>Glass tubing is connected using procedures and techniques according to job requirements.</w:t>
            </w:r>
          </w:p>
        </w:tc>
      </w:tr>
    </w:tbl>
    <w:p w:rsidR="00000000" w:rsidRPr="000B5EBA" w:rsidP="000B5EBA">
      <w:pPr>
        <w:pStyle w:val="BodyText"/>
      </w:pPr>
    </w:p>
    <w:tbl>
      <w:tblPr>
        <w:tblW w:w="0" w:type="auto"/>
        <w:tblLayout w:type="fixed"/>
        <w:tblCellMar>
          <w:left w:w="62" w:type="dxa"/>
          <w:right w:w="62" w:type="dxa"/>
        </w:tblCellMar>
        <w:tblLook w:val="0000"/>
      </w:tblPr>
      <w:tblGrid>
        <w:gridCol w:w="686"/>
        <w:gridCol w:w="1985"/>
        <w:gridCol w:w="779"/>
        <w:gridCol w:w="5678"/>
      </w:tblGrid>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w:t>
            </w:r>
          </w:p>
        </w:tc>
        <w:tc>
          <w:tcPr>
            <w:tcW w:w="1985" w:type="dxa"/>
            <w:vMerge w:val="restart"/>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Prepare glass for lighting system.</w:t>
            </w: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5.1</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Pumping station is activated and section is connected to pumping station according to job requirements and safety procedures</w:t>
            </w:r>
            <w:r w:rsidRPr="000B5EBA">
              <w:t>.</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5.2</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 xml:space="preserve">Glass is vacuumed and pumped with gas using equipment and materials consistent with job requirements. </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5.3</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Glass is sealed and bombarded using equipment consistent with job requirements and industry standards.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5.4</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Glass is cooled safely and aged according to job requirements.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5.5</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Neon sections are tested to determine transformer loadings according to Australian standards and safety procedures.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5.6</w:t>
            </w:r>
          </w:p>
        </w:tc>
        <w:tc>
          <w:tcPr>
            <w:tcW w:w="5678"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t>Doubled sections of glass are blackened to form design shape.</w:t>
            </w:r>
          </w:p>
        </w:tc>
      </w:tr>
    </w:tbl>
    <w:p w:rsidR="00000000" w:rsidRPr="000B5EBA" w:rsidP="000B5EBA">
      <w:pPr>
        <w:pStyle w:val="BodyText"/>
      </w:pPr>
    </w:p>
    <w:tbl>
      <w:tblPr>
        <w:tblW w:w="0" w:type="auto"/>
        <w:tblLayout w:type="fixed"/>
        <w:tblCellMar>
          <w:left w:w="62" w:type="dxa"/>
          <w:right w:w="62" w:type="dxa"/>
        </w:tblCellMar>
        <w:tblLook w:val="0000"/>
      </w:tblPr>
      <w:tblGrid>
        <w:gridCol w:w="686"/>
        <w:gridCol w:w="1985"/>
        <w:gridCol w:w="779"/>
        <w:gridCol w:w="5678"/>
      </w:tblGrid>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6</w:t>
            </w:r>
          </w:p>
        </w:tc>
        <w:tc>
          <w:tcPr>
            <w:tcW w:w="1985" w:type="dxa"/>
            <w:vMerge w:val="restart"/>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Secure finished sign and clean up.</w:t>
            </w: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6.1</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Neon glass sign is securely attached to panel using attachments and supports according to job requirements.</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6.2</w:t>
            </w:r>
          </w:p>
        </w:tc>
        <w:tc>
          <w:tcPr>
            <w:tcW w:w="5678"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 xml:space="preserve">Sign and surrounding surface area are cleaned and waste materials removed according to statutory and regulatory authority requirements. </w:t>
            </w:r>
          </w:p>
        </w:tc>
      </w:tr>
      <w:tr w:rsidTr="000B5E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6.3</w:t>
            </w:r>
          </w:p>
        </w:tc>
        <w:tc>
          <w:tcPr>
            <w:tcW w:w="5678"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t>Tools and equipment, including personal protective equipment (PPE), are cleaned, maintained and stored according</w:t>
            </w:r>
            <w:r w:rsidRPr="000B5EBA">
              <w:t xml:space="preserve"> to workplace requirements.</w:t>
            </w:r>
          </w:p>
        </w:tc>
      </w:tr>
    </w:tbl>
    <w:p w:rsidR="00000000" w:rsidRPr="000B5EBA" w:rsidP="000B5EBA">
      <w:pPr>
        <w:pStyle w:val="BodyText"/>
      </w:pPr>
    </w:p>
    <w:p w:rsidR="00000000" w:rsidRPr="000B5EBA" w:rsidP="000B5EBA">
      <w:pPr>
        <w:pStyle w:val="AllowPageBreak"/>
      </w:pPr>
    </w:p>
    <w:p w:rsidR="00000000" w:rsidRPr="000B5EBA" w:rsidP="000B5EBA">
      <w:pPr>
        <w:pStyle w:val="Heading1"/>
      </w:pPr>
      <w:bookmarkStart w:id="7" w:name="O_832274"/>
      <w:bookmarkEnd w:id="7"/>
      <w:r w:rsidRPr="000B5EBA">
        <w:t>Foundation Skills</w:t>
      </w:r>
    </w:p>
    <w:tbl>
      <w:tblPr>
        <w:tblW w:w="0" w:type="auto"/>
        <w:tblLayout w:type="fixed"/>
        <w:tblCellMar>
          <w:left w:w="62" w:type="dxa"/>
          <w:right w:w="62" w:type="dxa"/>
        </w:tblCellMar>
        <w:tblLook w:val="0000"/>
      </w:tblPr>
      <w:tblGrid>
        <w:gridCol w:w="2212"/>
        <w:gridCol w:w="6750"/>
      </w:tblGrid>
      <w:tr w:rsidTr="000B5EBA">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This section describes the language, literacy, numeracy and employment skills essential to performance in this unit but not explicit in the performance criteria.</w:t>
            </w:r>
          </w:p>
        </w:tc>
      </w:tr>
      <w:tr w:rsidTr="000B5EBA">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0B5EBA" w:rsidP="000B5EBA">
            <w:pPr>
              <w:pStyle w:val="BodyText"/>
            </w:pPr>
            <w:r w:rsidRPr="000B5EBA">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rPr>
                <w:rStyle w:val="SpecialBold"/>
              </w:rPr>
              <w:t>Performance feature</w:t>
            </w:r>
          </w:p>
        </w:tc>
      </w:tr>
      <w:tr w:rsidTr="000B5EB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Learning skills to:</w:t>
            </w:r>
          </w:p>
        </w:tc>
        <w:tc>
          <w:tcPr>
            <w:tcW w:w="6750" w:type="dxa"/>
            <w:tcBorders>
              <w:top w:val="nil"/>
              <w:left w:val="nil"/>
              <w:bottom w:val="nil"/>
              <w:right w:val="nil"/>
            </w:tcBorders>
            <w:tcMar>
              <w:top w:w="0" w:type="dxa"/>
              <w:left w:w="62" w:type="dxa"/>
              <w:bottom w:w="0" w:type="dxa"/>
              <w:right w:w="62" w:type="dxa"/>
            </w:tcMar>
          </w:tcPr>
          <w:p w:rsidR="00000000" w:rsidRPr="000B5EBA" w:rsidP="000B5EBA">
            <w:pPr>
              <w:pStyle w:val="ListBullet"/>
            </w:pPr>
            <w:r w:rsidRPr="000B5EBA">
              <w:t>transfer key principles and techniques of heating and forming glass tubes to form and join glass sections to new designs.</w:t>
            </w:r>
          </w:p>
          <w:p w:rsidR="00000000" w:rsidP="000B5EBA">
            <w:pPr>
              <w:pStyle w:val="BodyText"/>
              <w:rPr>
                <w:lang w:val="en-NZ"/>
              </w:rPr>
            </w:pPr>
          </w:p>
        </w:tc>
      </w:tr>
      <w:tr w:rsidTr="000B5EB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Numeracy skills to:</w:t>
            </w:r>
          </w:p>
        </w:tc>
        <w:tc>
          <w:tcPr>
            <w:tcW w:w="6750" w:type="dxa"/>
            <w:tcBorders>
              <w:top w:val="nil"/>
              <w:left w:val="nil"/>
              <w:bottom w:val="nil"/>
              <w:right w:val="nil"/>
            </w:tcBorders>
            <w:tcMar>
              <w:top w:w="0" w:type="dxa"/>
              <w:left w:w="62" w:type="dxa"/>
              <w:bottom w:w="0" w:type="dxa"/>
              <w:right w:w="62" w:type="dxa"/>
            </w:tcMar>
          </w:tcPr>
          <w:p w:rsidR="00000000" w:rsidRPr="000B5EBA" w:rsidP="000B5EBA">
            <w:pPr>
              <w:pStyle w:val="ListBullet"/>
            </w:pPr>
            <w:r w:rsidRPr="000B5EBA">
              <w:t>measure and calculate lengths and widths to set out sign design according to scale.</w:t>
            </w:r>
          </w:p>
          <w:p w:rsidR="00000000" w:rsidP="000B5EBA">
            <w:pPr>
              <w:pStyle w:val="BodyText"/>
              <w:rPr>
                <w:lang w:val="en-NZ"/>
              </w:rPr>
            </w:pPr>
          </w:p>
        </w:tc>
      </w:tr>
      <w:tr w:rsidTr="000B5EB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0B5EBA" w:rsidP="000B5EBA">
            <w:pPr>
              <w:pStyle w:val="ListBullet"/>
            </w:pPr>
            <w:r w:rsidRPr="000B5EBA">
              <w:t>use questioning techniques to identify and confirm client requirements, share information, listen and understand.</w:t>
            </w:r>
          </w:p>
          <w:p w:rsidR="00000000" w:rsidP="000B5EBA">
            <w:pPr>
              <w:pStyle w:val="BodyText"/>
              <w:rPr>
                <w:lang w:val="en-NZ"/>
              </w:rPr>
            </w:pPr>
          </w:p>
        </w:tc>
      </w:tr>
      <w:tr w:rsidTr="000B5EB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Reading skills to:</w:t>
            </w:r>
          </w:p>
        </w:tc>
        <w:tc>
          <w:tcPr>
            <w:tcW w:w="6750" w:type="dxa"/>
            <w:tcBorders>
              <w:top w:val="nil"/>
              <w:left w:val="nil"/>
              <w:bottom w:val="nil"/>
              <w:right w:val="nil"/>
            </w:tcBorders>
            <w:tcMar>
              <w:top w:w="0" w:type="dxa"/>
              <w:left w:w="62" w:type="dxa"/>
              <w:bottom w:w="0" w:type="dxa"/>
              <w:right w:w="62" w:type="dxa"/>
            </w:tcMar>
          </w:tcPr>
          <w:p w:rsidR="00000000" w:rsidRPr="000B5EBA" w:rsidP="000B5EBA">
            <w:pPr>
              <w:pStyle w:val="ListBullet"/>
            </w:pPr>
            <w:r w:rsidRPr="000B5EBA">
              <w:t>read and interpret a range of information relating to the safe and appropriate use of too</w:t>
            </w:r>
            <w:r w:rsidRPr="000B5EBA">
              <w:t>ls and equipment for heating and shaping glass over a live flame, including safe work method statements (SWMS) and manufacturer specifications.</w:t>
            </w:r>
          </w:p>
          <w:p w:rsidR="00000000" w:rsidP="000B5EBA">
            <w:pPr>
              <w:pStyle w:val="BodyText"/>
              <w:rPr>
                <w:lang w:val="en-NZ"/>
              </w:rPr>
            </w:pPr>
          </w:p>
        </w:tc>
      </w:tr>
      <w:tr w:rsidTr="000B5EB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Writing skills to:</w:t>
            </w:r>
          </w:p>
        </w:tc>
        <w:tc>
          <w:tcPr>
            <w:tcW w:w="6750" w:type="dxa"/>
            <w:tcBorders>
              <w:top w:val="nil"/>
              <w:left w:val="nil"/>
              <w:bottom w:val="nil"/>
              <w:right w:val="nil"/>
            </w:tcBorders>
            <w:tcMar>
              <w:top w:w="0" w:type="dxa"/>
              <w:left w:w="62" w:type="dxa"/>
              <w:bottom w:w="0" w:type="dxa"/>
              <w:right w:w="62" w:type="dxa"/>
            </w:tcMar>
          </w:tcPr>
          <w:p w:rsidR="00000000" w:rsidRPr="000B5EBA" w:rsidP="000B5EBA">
            <w:pPr>
              <w:pStyle w:val="ListBullet"/>
            </w:pPr>
            <w:r w:rsidRPr="000B5EBA">
              <w:t>report faults in tools and equipment to manufacturer and relevant personnel in short, simple reports.</w:t>
            </w:r>
          </w:p>
          <w:p w:rsidR="00000000" w:rsidRPr="000B5EBA" w:rsidP="000B5EBA">
            <w:pPr>
              <w:pStyle w:val="BodyText"/>
            </w:pPr>
          </w:p>
        </w:tc>
      </w:tr>
    </w:tbl>
    <w:p w:rsidR="00000000" w:rsidRPr="000B5EBA" w:rsidP="000B5EBA">
      <w:pPr>
        <w:pStyle w:val="BodyText"/>
      </w:pPr>
    </w:p>
    <w:p w:rsidR="00000000" w:rsidRPr="000B5EBA" w:rsidP="000B5EBA">
      <w:pPr>
        <w:pStyle w:val="AllowPageBreak"/>
      </w:pPr>
    </w:p>
    <w:p w:rsidR="00000000" w:rsidRPr="000B5EBA" w:rsidP="000B5EBA">
      <w:pPr>
        <w:pStyle w:val="Heading1"/>
      </w:pPr>
      <w:bookmarkStart w:id="8" w:name="O_832273"/>
      <w:bookmarkEnd w:id="8"/>
      <w:r w:rsidRPr="000B5EBA">
        <w:t>Range of Conditions</w:t>
      </w:r>
    </w:p>
    <w:tbl>
      <w:tblPr>
        <w:tblW w:w="0" w:type="auto"/>
        <w:tblLayout w:type="fixed"/>
        <w:tblCellMar>
          <w:left w:w="62" w:type="dxa"/>
          <w:right w:w="62" w:type="dxa"/>
        </w:tblCellMar>
        <w:tblLook w:val="0000"/>
      </w:tblPr>
      <w:tblGrid>
        <w:gridCol w:w="2239"/>
        <w:gridCol w:w="6723"/>
      </w:tblGrid>
      <w:tr w:rsidTr="000B5EBA">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t>This section specifies work environments and conditions that may affect performance. Essential operating condition</w:t>
            </w:r>
            <w:r w:rsidRPr="000B5EBA">
              <w:t>s that may be present (depending on the work situation, needs of the candidate, accessibility of the item, and local industry and regional contexts) are included. Bold italicised wording, if used in the performance criteria, is detailed below.</w:t>
            </w:r>
          </w:p>
        </w:tc>
      </w:tr>
      <w:tr w:rsidTr="000B5EB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B5EBA">
            <w:pPr>
              <w:pStyle w:val="BodyText"/>
              <w:rPr>
                <w:lang w:val="en-NZ"/>
              </w:rPr>
            </w:pPr>
            <w:r w:rsidRPr="000B5EBA">
              <w:rPr>
                <w:rStyle w:val="BoldandItalics"/>
              </w:rPr>
              <w:t xml:space="preserve">Health and safety requirements </w:t>
            </w:r>
            <w:r w:rsidRPr="000B5EBA">
              <w:t>must include:</w:t>
            </w:r>
          </w:p>
        </w:tc>
        <w:tc>
          <w:tcPr>
            <w:tcW w:w="6723" w:type="dxa"/>
            <w:tcBorders>
              <w:top w:val="nil"/>
              <w:left w:val="nil"/>
              <w:bottom w:val="nil"/>
              <w:right w:val="nil"/>
            </w:tcBorders>
            <w:tcMar>
              <w:top w:w="0" w:type="dxa"/>
              <w:left w:w="62" w:type="dxa"/>
              <w:bottom w:w="0" w:type="dxa"/>
              <w:right w:w="62" w:type="dxa"/>
            </w:tcMar>
          </w:tcPr>
          <w:p w:rsidR="00000000" w:rsidRPr="000B5EBA" w:rsidP="000B5EBA">
            <w:pPr>
              <w:pStyle w:val="ListBullet"/>
            </w:pPr>
            <w:r w:rsidRPr="000B5EBA">
              <w:t>selection, correct fitting, and use of PPE prescribed under legislation, regulations and workplace policies and practices</w:t>
            </w:r>
          </w:p>
          <w:p w:rsidR="00000000" w:rsidRPr="000B5EBA" w:rsidP="000B5EBA">
            <w:pPr>
              <w:pStyle w:val="ListBullet"/>
            </w:pPr>
            <w:r w:rsidRPr="000B5EBA">
              <w:t>emergency procedures, including:</w:t>
            </w:r>
          </w:p>
          <w:p w:rsidR="00000000" w:rsidRPr="000B5EBA" w:rsidP="000B5EBA">
            <w:pPr>
              <w:pStyle w:val="ListBullet2"/>
            </w:pPr>
            <w:r w:rsidRPr="000B5EBA">
              <w:t>evacuation</w:t>
            </w:r>
          </w:p>
          <w:p w:rsidR="00000000" w:rsidRPr="000B5EBA" w:rsidP="000B5EBA">
            <w:pPr>
              <w:pStyle w:val="ListBullet2"/>
            </w:pPr>
            <w:r w:rsidRPr="000B5EBA">
              <w:t>first aid</w:t>
            </w:r>
          </w:p>
          <w:p w:rsidR="00000000" w:rsidRPr="000B5EBA" w:rsidP="000B5EBA">
            <w:pPr>
              <w:pStyle w:val="ListBullet2"/>
            </w:pPr>
            <w:r w:rsidRPr="000B5EBA">
              <w:t>location and use of fire-fighting</w:t>
            </w:r>
            <w:r w:rsidRPr="000B5EBA">
              <w:t xml:space="preserve"> equipment</w:t>
            </w:r>
          </w:p>
          <w:p w:rsidR="00000000" w:rsidRPr="000B5EBA" w:rsidP="000B5EBA">
            <w:pPr>
              <w:pStyle w:val="ListBullet"/>
            </w:pPr>
            <w:r w:rsidRPr="000B5EBA">
              <w:t>hazard identification and risk control procedures</w:t>
            </w:r>
          </w:p>
          <w:p w:rsidR="00000000" w:rsidRPr="000B5EBA" w:rsidP="000B5EBA">
            <w:pPr>
              <w:pStyle w:val="ListBullet"/>
            </w:pPr>
            <w:r w:rsidRPr="000B5EBA">
              <w:t>safe operating procedures, including the conduct of operational risk assessment and treatments associated with:</w:t>
            </w:r>
          </w:p>
          <w:p w:rsidR="00000000" w:rsidRPr="000B5EBA" w:rsidP="000B5EBA">
            <w:pPr>
              <w:pStyle w:val="ListBullet2"/>
            </w:pPr>
            <w:r w:rsidRPr="000B5EBA">
              <w:t>concealed services (water, power and gas)</w:t>
            </w:r>
          </w:p>
          <w:p w:rsidR="00000000" w:rsidRPr="000B5EBA" w:rsidP="000B5EBA">
            <w:pPr>
              <w:pStyle w:val="ListBullet2"/>
            </w:pPr>
            <w:r w:rsidRPr="000B5EBA">
              <w:t>lighting</w:t>
            </w:r>
          </w:p>
          <w:p w:rsidR="00000000" w:rsidRPr="000B5EBA" w:rsidP="000B5EBA">
            <w:pPr>
              <w:pStyle w:val="ListBullet2"/>
            </w:pPr>
            <w:r w:rsidRPr="000B5EBA">
              <w:t>restricted access barriers</w:t>
            </w:r>
          </w:p>
          <w:p w:rsidR="00000000" w:rsidRPr="000B5EBA" w:rsidP="000B5EBA">
            <w:pPr>
              <w:pStyle w:val="ListBullet2"/>
            </w:pPr>
            <w:r w:rsidRPr="000B5EBA">
              <w:t>work site visitors and the public</w:t>
            </w:r>
          </w:p>
          <w:p w:rsidR="00000000" w:rsidRPr="000B5EBA" w:rsidP="000B5EBA">
            <w:pPr>
              <w:pStyle w:val="ListBullet2"/>
            </w:pPr>
            <w:r w:rsidRPr="000B5EBA">
              <w:t>working in confined spaces</w:t>
            </w:r>
          </w:p>
          <w:p w:rsidR="00000000" w:rsidRPr="000B5EBA" w:rsidP="000B5EBA">
            <w:pPr>
              <w:pStyle w:val="ListBullet2"/>
            </w:pPr>
            <w:r w:rsidRPr="000B5EBA">
              <w:t>working in proximity to others</w:t>
            </w:r>
          </w:p>
          <w:p w:rsidR="00000000" w:rsidRPr="000B5EBA" w:rsidP="000B5EBA">
            <w:pPr>
              <w:pStyle w:val="ListBullet2"/>
            </w:pPr>
            <w:r w:rsidRPr="000B5EBA">
              <w:t>use of gas and live flame</w:t>
            </w:r>
          </w:p>
          <w:p w:rsidR="00000000" w:rsidRPr="000B5EBA" w:rsidP="000B5EBA">
            <w:pPr>
              <w:pStyle w:val="ListBullet2"/>
            </w:pPr>
            <w:r w:rsidRPr="000B5EBA">
              <w:t>use of high voltage electricity</w:t>
            </w:r>
          </w:p>
          <w:p w:rsidR="00000000" w:rsidRPr="000B5EBA" w:rsidP="000B5EBA">
            <w:pPr>
              <w:pStyle w:val="ListBullet2"/>
            </w:pPr>
            <w:r w:rsidRPr="000B5EBA">
              <w:t>use of machines</w:t>
            </w:r>
          </w:p>
          <w:p w:rsidR="00000000" w:rsidRPr="000B5EBA" w:rsidP="000B5EBA">
            <w:pPr>
              <w:pStyle w:val="ListBullet2"/>
            </w:pPr>
            <w:r w:rsidRPr="000B5EBA">
              <w:t>use of tools and equipment</w:t>
            </w:r>
          </w:p>
          <w:p w:rsidR="00000000" w:rsidRPr="000B5EBA" w:rsidP="000B5EBA">
            <w:pPr>
              <w:pStyle w:val="ListBullet"/>
            </w:pPr>
            <w:r w:rsidRPr="000B5EBA">
              <w:t>workplace environmental requirements.</w:t>
            </w:r>
          </w:p>
          <w:p w:rsidR="00000000" w:rsidRPr="000B5EBA" w:rsidP="000B5EBA">
            <w:pPr>
              <w:pStyle w:val="BodyText"/>
            </w:pPr>
          </w:p>
        </w:tc>
      </w:tr>
    </w:tbl>
    <w:p w:rsidR="00000000" w:rsidRPr="000B5EBA" w:rsidP="000B5EBA">
      <w:pPr>
        <w:pStyle w:val="BodyText"/>
      </w:pPr>
    </w:p>
    <w:p w:rsidR="00000000" w:rsidRPr="000B5EBA" w:rsidP="000B5EBA">
      <w:pPr>
        <w:pStyle w:val="AllowPageBreak"/>
      </w:pPr>
    </w:p>
    <w:p w:rsidR="00000000" w:rsidRPr="000B5EBA" w:rsidP="000B5EBA">
      <w:pPr>
        <w:pStyle w:val="Heading1"/>
      </w:pPr>
      <w:bookmarkStart w:id="9" w:name="O_832272"/>
      <w:bookmarkEnd w:id="9"/>
      <w:r w:rsidRPr="000B5EBA">
        <w:t>Unit Mapping Information</w:t>
      </w:r>
    </w:p>
    <w:p w:rsidR="00000000" w:rsidRPr="000B5EBA" w:rsidP="00DA40C4">
      <w:pPr>
        <w:pStyle w:val="BodyText"/>
      </w:pPr>
      <w:r w:rsidRPr="000B5EBA">
        <w:t>CPCCSI3014A Manufacture gas-charged glass-formed illuminated signage</w:t>
      </w:r>
    </w:p>
    <w:p w:rsidR="00000000" w:rsidRPr="000B5EBA" w:rsidP="000B5EBA">
      <w:pPr>
        <w:pStyle w:val="Heading1"/>
      </w:pPr>
      <w:bookmarkStart w:id="10" w:name="O_832265"/>
      <w:bookmarkEnd w:id="10"/>
      <w:r w:rsidRPr="000B5EBA">
        <w:t>Links</w:t>
      </w:r>
    </w:p>
    <w:p w:rsidR="00000000" w:rsidRPr="000B5EBA" w:rsidP="00DA40C4">
      <w:pPr>
        <w:pStyle w:val="BodyText"/>
      </w:pPr>
      <w:r w:rsidRPr="000B5EB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50631">
        <w:rPr>
          <w:rStyle w:val="Hyperlink"/>
        </w:rPr>
        <w:t>https://vetnet.gov.au/Pages/TrainingDocs.aspx?q=7e15fa6a-68b8-4097-b099-030a5569b1ad</w:t>
      </w:r>
      <w:r>
        <w:fldChar w:fldCharType="end"/>
      </w:r>
    </w:p>
    <w:p w:rsidR="00000000" w:rsidRPr="000B5EBA" w:rsidP="000B5EBA"/>
    <w:sectPr w:rsidSect="000B5E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A" w:rsidRPr="00DA40C4" w:rsidP="00DA4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C4" w:rsidP="000B5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40C4" w:rsidP="000B5E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A40C4" w:rsidP="000B5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EBA" w:rsidRPr="00DA40C4" w:rsidP="00DA40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C4" w:rsidRPr="002D2AF8" w:rsidP="000B5EBA">
    <w:pPr>
      <w:pStyle w:val="Header"/>
      <w:framePr w:wrap="around"/>
    </w:pPr>
    <w:r>
      <w:fldChar w:fldCharType="begin"/>
    </w:r>
    <w:r>
      <w:instrText xml:space="preserve"> TITLE   \* MERGEFORMAT </w:instrText>
    </w:r>
    <w:r>
      <w:fldChar w:fldCharType="separate"/>
    </w:r>
    <w:r>
      <w:t>CPCCSG3014 Manufacture gas-charged glass-formed illuminated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A40C4" w:rsidP="000B5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CB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07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66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EBA"/>
    <w:pPr>
      <w:spacing w:before="360" w:after="60"/>
      <w:outlineLvl w:val="0"/>
    </w:pPr>
    <w:rPr>
      <w:sz w:val="32"/>
    </w:rPr>
  </w:style>
  <w:style w:type="paragraph" w:styleId="Heading2">
    <w:name w:val="heading 2"/>
    <w:basedOn w:val="HeadingBase"/>
    <w:next w:val="BodyText"/>
    <w:link w:val="Heading2Char"/>
    <w:qFormat/>
    <w:rsid w:val="000B5EBA"/>
    <w:pPr>
      <w:keepLines/>
      <w:spacing w:before="240" w:after="120"/>
      <w:outlineLvl w:val="1"/>
    </w:pPr>
    <w:rPr>
      <w:sz w:val="28"/>
      <w:szCs w:val="40"/>
    </w:rPr>
  </w:style>
  <w:style w:type="paragraph" w:styleId="Heading3">
    <w:name w:val="heading 3"/>
    <w:basedOn w:val="HeadingBase"/>
    <w:next w:val="BodyText"/>
    <w:link w:val="Heading3Char"/>
    <w:qFormat/>
    <w:rsid w:val="000B5EBA"/>
    <w:pPr>
      <w:spacing w:before="180" w:after="120"/>
      <w:outlineLvl w:val="2"/>
    </w:pPr>
    <w:rPr>
      <w:spacing w:val="-10"/>
      <w:kern w:val="32"/>
    </w:rPr>
  </w:style>
  <w:style w:type="paragraph" w:styleId="Heading4">
    <w:name w:val="heading 4"/>
    <w:basedOn w:val="HeadingBase"/>
    <w:next w:val="BodyText"/>
    <w:link w:val="Heading4Char"/>
    <w:qFormat/>
    <w:rsid w:val="000B5EBA"/>
    <w:pPr>
      <w:spacing w:before="160" w:after="120"/>
      <w:outlineLvl w:val="3"/>
    </w:pPr>
    <w:rPr>
      <w:sz w:val="22"/>
    </w:rPr>
  </w:style>
  <w:style w:type="paragraph" w:styleId="Heading5">
    <w:name w:val="heading 5"/>
    <w:basedOn w:val="HeadingBase"/>
    <w:next w:val="Normal"/>
    <w:link w:val="Heading5Char"/>
    <w:qFormat/>
    <w:rsid w:val="000B5EBA"/>
    <w:pPr>
      <w:spacing w:before="80"/>
      <w:outlineLvl w:val="4"/>
    </w:pPr>
    <w:rPr>
      <w:color w:val="918585"/>
      <w:sz w:val="20"/>
    </w:rPr>
  </w:style>
  <w:style w:type="paragraph" w:styleId="Heading6">
    <w:name w:val="heading 6"/>
    <w:basedOn w:val="HeadingBase"/>
    <w:next w:val="Normal"/>
    <w:link w:val="Heading6Char"/>
    <w:qFormat/>
    <w:rsid w:val="000B5EBA"/>
    <w:pPr>
      <w:spacing w:before="60"/>
      <w:outlineLvl w:val="5"/>
    </w:pPr>
    <w:rPr>
      <w:color w:val="918585"/>
      <w:sz w:val="20"/>
    </w:rPr>
  </w:style>
  <w:style w:type="paragraph" w:styleId="Heading7">
    <w:name w:val="heading 7"/>
    <w:basedOn w:val="Normal"/>
    <w:next w:val="Normal"/>
    <w:link w:val="Heading7Char"/>
    <w:qFormat/>
    <w:rsid w:val="000B5EBA"/>
    <w:pPr>
      <w:ind w:left="720"/>
      <w:outlineLvl w:val="6"/>
    </w:pPr>
    <w:rPr>
      <w:i/>
    </w:rPr>
  </w:style>
  <w:style w:type="paragraph" w:styleId="Heading8">
    <w:name w:val="heading 8"/>
    <w:basedOn w:val="Normal"/>
    <w:next w:val="Normal"/>
    <w:link w:val="Heading8Char"/>
    <w:qFormat/>
    <w:rsid w:val="000B5EBA"/>
    <w:pPr>
      <w:ind w:left="720"/>
      <w:outlineLvl w:val="7"/>
    </w:pPr>
    <w:rPr>
      <w:i/>
    </w:rPr>
  </w:style>
  <w:style w:type="paragraph" w:styleId="Heading9">
    <w:name w:val="heading 9"/>
    <w:basedOn w:val="Normal"/>
    <w:next w:val="Normal"/>
    <w:link w:val="Heading9Char"/>
    <w:qFormat/>
    <w:rsid w:val="000B5EBA"/>
    <w:pPr>
      <w:ind w:left="720"/>
      <w:outlineLvl w:val="8"/>
    </w:pPr>
    <w:rPr>
      <w:i/>
    </w:rPr>
  </w:style>
  <w:style w:type="character" w:default="1" w:styleId="DefaultParagraphFont">
    <w:name w:val="Default Paragraph Font"/>
    <w:uiPriority w:val="1"/>
    <w:unhideWhenUsed/>
    <w:rsid w:val="000B5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EBA"/>
  </w:style>
  <w:style w:type="character" w:customStyle="1" w:styleId="Heading1Char">
    <w:name w:val="Heading 1 Char"/>
    <w:basedOn w:val="DefaultParagraphFont"/>
    <w:link w:val="Heading1"/>
    <w:rsid w:val="000B5EBA"/>
    <w:rPr>
      <w:rFonts w:ascii="Times New Roman" w:eastAsia="Times New Roman" w:hAnsi="Times New Roman" w:cs="Times New Roman"/>
      <w:b/>
      <w:sz w:val="32"/>
      <w:szCs w:val="20"/>
      <w:lang w:eastAsia="en-US"/>
    </w:rPr>
  </w:style>
  <w:style w:type="paragraph" w:styleId="BodyText">
    <w:name w:val="Body Text"/>
    <w:basedOn w:val="Normal"/>
    <w:link w:val="BodyTextChar"/>
    <w:rsid w:val="000B5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EBA"/>
    <w:rPr>
      <w:rFonts w:ascii="Times New Roman" w:eastAsia="Times New Roman" w:hAnsi="Times New Roman" w:cs="Times New Roman"/>
      <w:sz w:val="24"/>
      <w:lang w:eastAsia="en-US"/>
    </w:rPr>
  </w:style>
  <w:style w:type="paragraph" w:styleId="ListBullet">
    <w:name w:val="List Bullet"/>
    <w:basedOn w:val="List"/>
    <w:rsid w:val="000B5EBA"/>
    <w:pPr>
      <w:numPr>
        <w:numId w:val="12"/>
      </w:numPr>
      <w:tabs>
        <w:tab w:val="clear" w:pos="340"/>
      </w:tabs>
      <w:spacing w:before="40" w:after="40"/>
    </w:pPr>
  </w:style>
  <w:style w:type="character" w:customStyle="1" w:styleId="SpecialBold">
    <w:name w:val="Special Bold"/>
    <w:basedOn w:val="DefaultParagraphFont"/>
    <w:rsid w:val="000B5EBA"/>
    <w:rPr>
      <w:b/>
      <w:spacing w:val="0"/>
    </w:rPr>
  </w:style>
  <w:style w:type="paragraph" w:styleId="ListBullet2">
    <w:name w:val="List Bullet 2"/>
    <w:basedOn w:val="List2"/>
    <w:rsid w:val="000B5EBA"/>
    <w:pPr>
      <w:numPr>
        <w:numId w:val="13"/>
      </w:numPr>
      <w:tabs>
        <w:tab w:val="clear" w:pos="680"/>
      </w:tabs>
    </w:pPr>
  </w:style>
  <w:style w:type="paragraph" w:customStyle="1" w:styleId="SuperHeading">
    <w:name w:val="SuperHeading"/>
    <w:basedOn w:val="Normal"/>
    <w:rsid w:val="000B5EBA"/>
    <w:pPr>
      <w:spacing w:before="240" w:after="120"/>
      <w:outlineLvl w:val="0"/>
    </w:pPr>
    <w:rPr>
      <w:rFonts w:ascii="Times New Roman" w:hAnsi="Times New Roman"/>
      <w:b/>
      <w:sz w:val="32"/>
    </w:rPr>
  </w:style>
  <w:style w:type="paragraph" w:customStyle="1" w:styleId="AllowPageBreak">
    <w:name w:val="AllowPageBreak"/>
    <w:rsid w:val="000B5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5EBA"/>
    <w:rPr>
      <w:b/>
      <w:i/>
      <w:u w:val="none"/>
    </w:rPr>
  </w:style>
  <w:style w:type="character" w:customStyle="1" w:styleId="Heading2Char">
    <w:name w:val="Heading 2 Char"/>
    <w:basedOn w:val="DefaultParagraphFont"/>
    <w:link w:val="Heading2"/>
    <w:rsid w:val="000B5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EBA"/>
    <w:rPr>
      <w:rFonts w:ascii="Courier New" w:eastAsia="Times New Roman" w:hAnsi="Courier New" w:cs="Times New Roman"/>
      <w:i/>
      <w:szCs w:val="20"/>
      <w:lang w:eastAsia="en-US"/>
    </w:rPr>
  </w:style>
  <w:style w:type="paragraph" w:customStyle="1" w:styleId="HeadingBase">
    <w:name w:val="Heading Base"/>
    <w:rsid w:val="000B5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EBA"/>
    <w:pPr>
      <w:tabs>
        <w:tab w:val="right" w:leader="dot" w:pos="9072"/>
      </w:tabs>
      <w:ind w:left="567"/>
    </w:pPr>
    <w:rPr>
      <w:szCs w:val="22"/>
    </w:rPr>
  </w:style>
  <w:style w:type="paragraph" w:customStyle="1" w:styleId="TOCBase">
    <w:name w:val="TOC Base"/>
    <w:rsid w:val="000B5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EBA"/>
    <w:pPr>
      <w:tabs>
        <w:tab w:val="right" w:leader="dot" w:pos="9072"/>
      </w:tabs>
      <w:spacing w:before="40" w:after="40"/>
      <w:ind w:left="284"/>
    </w:pPr>
    <w:rPr>
      <w:rFonts w:ascii="Times New Roman" w:hAnsi="Times New Roman"/>
    </w:rPr>
  </w:style>
  <w:style w:type="paragraph" w:styleId="TOC1">
    <w:name w:val="toc 1"/>
    <w:basedOn w:val="TOCBase"/>
    <w:next w:val="Normal"/>
    <w:rsid w:val="000B5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EBA"/>
    <w:rPr>
      <w:rFonts w:ascii="Times New Roman" w:eastAsia="Times New Roman" w:hAnsi="Times New Roman" w:cs="Times New Roman"/>
      <w:sz w:val="16"/>
      <w:lang w:eastAsia="en-US"/>
    </w:rPr>
  </w:style>
  <w:style w:type="paragraph" w:styleId="Title">
    <w:name w:val="Title"/>
    <w:basedOn w:val="HeadingBase"/>
    <w:link w:val="TitleChar"/>
    <w:qFormat/>
    <w:rsid w:val="000B5EBA"/>
    <w:pPr>
      <w:spacing w:before="5040"/>
      <w:jc w:val="center"/>
    </w:pPr>
    <w:rPr>
      <w:sz w:val="48"/>
      <w:szCs w:val="72"/>
      <w:lang w:val="en-US"/>
    </w:rPr>
  </w:style>
  <w:style w:type="character" w:customStyle="1" w:styleId="TitleChar">
    <w:name w:val="Title Char"/>
    <w:basedOn w:val="DefaultParagraphFont"/>
    <w:link w:val="Title"/>
    <w:rsid w:val="000B5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EBA"/>
    <w:pPr>
      <w:tabs>
        <w:tab w:val="left" w:pos="3600"/>
        <w:tab w:val="left" w:pos="3958"/>
      </w:tabs>
    </w:pPr>
  </w:style>
  <w:style w:type="paragraph" w:styleId="List">
    <w:name w:val="List"/>
    <w:basedOn w:val="BodyText"/>
    <w:next w:val="BodyText"/>
    <w:rsid w:val="000B5EBA"/>
    <w:pPr>
      <w:tabs>
        <w:tab w:val="left" w:pos="340"/>
      </w:tabs>
      <w:spacing w:before="60" w:after="60"/>
      <w:ind w:left="340" w:hanging="340"/>
    </w:pPr>
  </w:style>
  <w:style w:type="paragraph" w:customStyle="1" w:styleId="Note">
    <w:name w:val="Note"/>
    <w:basedOn w:val="BodyText"/>
    <w:rsid w:val="000B5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EBA"/>
    <w:pPr>
      <w:framePr w:wrap="auto" w:hAnchor="text" w:y="6049"/>
    </w:pPr>
    <w:rPr>
      <w:color w:val="000000"/>
      <w:sz w:val="40"/>
    </w:rPr>
  </w:style>
  <w:style w:type="paragraph" w:customStyle="1" w:styleId="TOCTitle">
    <w:name w:val="TOCTitle"/>
    <w:basedOn w:val="Heading1"/>
    <w:rsid w:val="000B5EBA"/>
    <w:pPr>
      <w:spacing w:after="240"/>
      <w:jc w:val="center"/>
      <w:outlineLvl w:val="9"/>
    </w:pPr>
    <w:rPr>
      <w:caps/>
    </w:rPr>
  </w:style>
  <w:style w:type="paragraph" w:customStyle="1" w:styleId="Version">
    <w:name w:val="Version"/>
    <w:rsid w:val="000B5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EBA"/>
    <w:pPr>
      <w:keepNext w:val="0"/>
      <w:tabs>
        <w:tab w:val="right" w:pos="4176"/>
      </w:tabs>
      <w:ind w:left="198" w:hanging="198"/>
    </w:pPr>
    <w:rPr>
      <w:rFonts w:ascii="Garamond" w:hAnsi="Garamond"/>
    </w:rPr>
  </w:style>
  <w:style w:type="paragraph" w:styleId="IndexHeading">
    <w:name w:val="index heading"/>
    <w:basedOn w:val="Normal"/>
    <w:next w:val="Index1"/>
    <w:semiHidden/>
    <w:rsid w:val="000B5EBA"/>
    <w:pPr>
      <w:spacing w:before="120" w:after="120"/>
    </w:pPr>
    <w:rPr>
      <w:rFonts w:ascii="Arial" w:hAnsi="Arial"/>
      <w:b/>
      <w:color w:val="918585"/>
      <w:sz w:val="24"/>
    </w:rPr>
  </w:style>
  <w:style w:type="paragraph" w:styleId="Header">
    <w:name w:val="header"/>
    <w:basedOn w:val="Normal"/>
    <w:link w:val="HeaderChar"/>
    <w:rsid w:val="000B5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EBA"/>
    <w:rPr>
      <w:rFonts w:ascii="Times New Roman" w:eastAsia="Times New Roman" w:hAnsi="Times New Roman" w:cs="Times New Roman"/>
      <w:sz w:val="16"/>
      <w:szCs w:val="20"/>
      <w:lang w:val="en-GB" w:eastAsia="en-US"/>
    </w:rPr>
  </w:style>
  <w:style w:type="paragraph" w:customStyle="1" w:styleId="Chapter">
    <w:name w:val="Chapter"/>
    <w:basedOn w:val="Normal"/>
    <w:rsid w:val="000B5EBA"/>
    <w:pPr>
      <w:spacing w:before="240"/>
    </w:pPr>
    <w:rPr>
      <w:rFonts w:ascii="Times New Roman" w:hAnsi="Times New Roman"/>
      <w:smallCaps/>
      <w:spacing w:val="80"/>
      <w:sz w:val="28"/>
    </w:rPr>
  </w:style>
  <w:style w:type="paragraph" w:customStyle="1" w:styleId="InChapter">
    <w:name w:val="InChapter"/>
    <w:basedOn w:val="Heading3"/>
    <w:rsid w:val="000B5EBA"/>
    <w:pPr>
      <w:spacing w:after="240"/>
      <w:outlineLvl w:val="9"/>
    </w:pPr>
    <w:rPr>
      <w:noProof/>
    </w:rPr>
  </w:style>
  <w:style w:type="paragraph" w:styleId="Index2">
    <w:name w:val="index 2"/>
    <w:basedOn w:val="Normal"/>
    <w:next w:val="Normal"/>
    <w:semiHidden/>
    <w:rsid w:val="000B5EBA"/>
    <w:pPr>
      <w:tabs>
        <w:tab w:val="right" w:pos="4176"/>
      </w:tabs>
      <w:ind w:left="568" w:hanging="284"/>
    </w:pPr>
    <w:rPr>
      <w:rFonts w:ascii="Garamond" w:hAnsi="Garamond"/>
    </w:rPr>
  </w:style>
  <w:style w:type="paragraph" w:customStyle="1" w:styleId="Byline">
    <w:name w:val="Byline"/>
    <w:rsid w:val="000B5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EBA"/>
    <w:pPr>
      <w:tabs>
        <w:tab w:val="clear" w:pos="3600"/>
        <w:tab w:val="clear" w:pos="3958"/>
      </w:tabs>
      <w:jc w:val="right"/>
    </w:pPr>
  </w:style>
  <w:style w:type="character" w:styleId="Emphasis">
    <w:name w:val="Emphasis"/>
    <w:basedOn w:val="DefaultParagraphFont"/>
    <w:qFormat/>
    <w:rsid w:val="000B5EBA"/>
    <w:rPr>
      <w:i/>
    </w:rPr>
  </w:style>
  <w:style w:type="paragraph" w:styleId="Caption">
    <w:name w:val="caption"/>
    <w:basedOn w:val="BodyText"/>
    <w:next w:val="Normal"/>
    <w:qFormat/>
    <w:rsid w:val="000B5EBA"/>
    <w:pPr>
      <w:framePr w:w="2268" w:hSpace="181" w:vSpace="181" w:wrap="around" w:vAnchor="text" w:hAnchor="page" w:x="1135" w:y="285" w:anchorLock="1"/>
    </w:pPr>
    <w:rPr>
      <w:i/>
    </w:rPr>
  </w:style>
  <w:style w:type="paragraph" w:customStyle="1" w:styleId="MiniTOCTitle">
    <w:name w:val="MiniTOCTitle"/>
    <w:basedOn w:val="Heading4"/>
    <w:rsid w:val="000B5EBA"/>
    <w:pPr>
      <w:spacing w:before="240"/>
      <w:outlineLvl w:val="9"/>
    </w:pPr>
    <w:rPr>
      <w:noProof/>
      <w:sz w:val="24"/>
    </w:rPr>
  </w:style>
  <w:style w:type="paragraph" w:customStyle="1" w:styleId="MiniTOCItem">
    <w:name w:val="MiniTOCItem"/>
    <w:basedOn w:val="ListBullet"/>
    <w:rsid w:val="000B5EBA"/>
    <w:pPr>
      <w:numPr>
        <w:numId w:val="0"/>
      </w:numPr>
      <w:tabs>
        <w:tab w:val="right" w:leader="dot" w:pos="6521"/>
      </w:tabs>
      <w:spacing w:before="0" w:after="0"/>
    </w:pPr>
  </w:style>
  <w:style w:type="paragraph" w:customStyle="1" w:styleId="TOFTitle">
    <w:name w:val="TOFTitle"/>
    <w:basedOn w:val="TOCTitle"/>
    <w:rsid w:val="000B5EBA"/>
  </w:style>
  <w:style w:type="paragraph" w:styleId="TableofFigures">
    <w:name w:val="table of figures"/>
    <w:basedOn w:val="Normal"/>
    <w:next w:val="Normal"/>
    <w:semiHidden/>
    <w:rsid w:val="000B5EBA"/>
    <w:pPr>
      <w:tabs>
        <w:tab w:val="right" w:leader="dot" w:pos="9072"/>
      </w:tabs>
      <w:ind w:left="970" w:hanging="403"/>
    </w:pPr>
    <w:rPr>
      <w:rFonts w:ascii="Times New Roman" w:hAnsi="Times New Roman"/>
      <w:b/>
    </w:rPr>
  </w:style>
  <w:style w:type="paragraph" w:styleId="ListNumber">
    <w:name w:val="List Number"/>
    <w:basedOn w:val="List"/>
    <w:rsid w:val="000B5EBA"/>
    <w:pPr>
      <w:numPr>
        <w:numId w:val="15"/>
      </w:numPr>
      <w:tabs>
        <w:tab w:val="clear" w:pos="340"/>
      </w:tabs>
    </w:pPr>
  </w:style>
  <w:style w:type="character" w:customStyle="1" w:styleId="WingdingSymbols">
    <w:name w:val="Wingding Symbols"/>
    <w:rsid w:val="000B5EBA"/>
    <w:rPr>
      <w:rFonts w:ascii="Wingdings" w:hAnsi="Wingdings"/>
    </w:rPr>
  </w:style>
  <w:style w:type="paragraph" w:customStyle="1" w:styleId="TableHeading">
    <w:name w:val="Table Heading"/>
    <w:basedOn w:val="HeadingBase"/>
    <w:rsid w:val="000B5EBA"/>
    <w:pPr>
      <w:keepLines/>
      <w:pBdr>
        <w:bottom w:val="single" w:sz="6" w:space="1" w:color="918585"/>
      </w:pBdr>
      <w:spacing w:before="240"/>
    </w:pPr>
  </w:style>
  <w:style w:type="character" w:customStyle="1" w:styleId="HotSpot">
    <w:name w:val="HotSpot"/>
    <w:rsid w:val="000B5EBA"/>
    <w:rPr>
      <w:color w:val="0033CC"/>
      <w:u w:val="none"/>
    </w:rPr>
  </w:style>
  <w:style w:type="paragraph" w:customStyle="1" w:styleId="BodyTextRight">
    <w:name w:val="Body Text Right"/>
    <w:basedOn w:val="BodyText"/>
    <w:rsid w:val="000B5EBA"/>
    <w:pPr>
      <w:spacing w:before="0" w:after="0"/>
      <w:jc w:val="right"/>
    </w:pPr>
  </w:style>
  <w:style w:type="paragraph" w:styleId="Index3">
    <w:name w:val="index 3"/>
    <w:basedOn w:val="ListNumber2"/>
    <w:next w:val="Normal"/>
    <w:semiHidden/>
    <w:rsid w:val="000B5EBA"/>
    <w:pPr>
      <w:numPr>
        <w:numId w:val="0"/>
      </w:numPr>
      <w:tabs>
        <w:tab w:val="right" w:leader="dot" w:pos="4176"/>
      </w:tabs>
    </w:pPr>
  </w:style>
  <w:style w:type="paragraph" w:styleId="ListNumber2">
    <w:name w:val="List Number 2"/>
    <w:basedOn w:val="List2"/>
    <w:rsid w:val="000B5EBA"/>
    <w:pPr>
      <w:numPr>
        <w:numId w:val="10"/>
      </w:numPr>
      <w:tabs>
        <w:tab w:val="clear" w:pos="1060"/>
      </w:tabs>
    </w:pPr>
  </w:style>
  <w:style w:type="paragraph" w:customStyle="1" w:styleId="MarginNote">
    <w:name w:val="Margin Note"/>
    <w:basedOn w:val="BodyText"/>
    <w:rsid w:val="000B5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EBA"/>
    <w:rPr>
      <w:sz w:val="32"/>
    </w:rPr>
  </w:style>
  <w:style w:type="paragraph" w:customStyle="1" w:styleId="HeadingProcedure">
    <w:name w:val="Heading Procedure"/>
    <w:basedOn w:val="HeadingBase"/>
    <w:next w:val="Normal"/>
    <w:rsid w:val="000B5EBA"/>
    <w:pPr>
      <w:tabs>
        <w:tab w:val="left" w:pos="0"/>
      </w:tabs>
      <w:spacing w:before="120" w:after="60"/>
    </w:pPr>
    <w:rPr>
      <w:i/>
      <w:color w:val="918585"/>
      <w:sz w:val="22"/>
    </w:rPr>
  </w:style>
  <w:style w:type="paragraph" w:customStyle="1" w:styleId="TableBodyText">
    <w:name w:val="Table Body Text"/>
    <w:basedOn w:val="BodyText"/>
    <w:rsid w:val="000B5EBA"/>
    <w:pPr>
      <w:spacing w:before="60" w:after="60"/>
    </w:pPr>
  </w:style>
  <w:style w:type="paragraph" w:styleId="ListContinue">
    <w:name w:val="List Continue"/>
    <w:basedOn w:val="List"/>
    <w:rsid w:val="000B5EBA"/>
    <w:pPr>
      <w:ind w:firstLine="0"/>
    </w:pPr>
  </w:style>
  <w:style w:type="paragraph" w:customStyle="1" w:styleId="ListNote">
    <w:name w:val="List Note"/>
    <w:basedOn w:val="List"/>
    <w:rsid w:val="000B5EBA"/>
    <w:pPr>
      <w:pBdr>
        <w:top w:val="single" w:sz="6" w:space="2" w:color="918585"/>
        <w:bottom w:val="single" w:sz="6" w:space="2" w:color="918585"/>
      </w:pBdr>
      <w:tabs>
        <w:tab w:val="left" w:pos="1021"/>
      </w:tabs>
      <w:ind w:firstLine="0"/>
    </w:pPr>
  </w:style>
  <w:style w:type="paragraph" w:customStyle="1" w:styleId="Warning">
    <w:name w:val="Warning"/>
    <w:basedOn w:val="BodyText"/>
    <w:rsid w:val="000B5EBA"/>
    <w:pPr>
      <w:shd w:val="clear" w:color="auto" w:fill="D9D9D9"/>
      <w:tabs>
        <w:tab w:val="left" w:pos="992"/>
      </w:tabs>
      <w:ind w:left="119" w:right="119"/>
    </w:pPr>
    <w:rPr>
      <w:sz w:val="20"/>
    </w:rPr>
  </w:style>
  <w:style w:type="paragraph" w:customStyle="1" w:styleId="MarginIcons">
    <w:name w:val="Margin Icons"/>
    <w:basedOn w:val="BodyText"/>
    <w:rsid w:val="000B5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EBA"/>
    <w:rPr>
      <w:rFonts w:ascii="Courier New" w:hAnsi="Courier New"/>
    </w:rPr>
  </w:style>
  <w:style w:type="paragraph" w:customStyle="1" w:styleId="NoteBullet">
    <w:name w:val="Note Bullet"/>
    <w:basedOn w:val="Note"/>
    <w:rsid w:val="000B5EBA"/>
    <w:pPr>
      <w:tabs>
        <w:tab w:val="clear" w:pos="680"/>
      </w:tabs>
      <w:spacing w:before="60" w:after="60"/>
    </w:pPr>
  </w:style>
  <w:style w:type="paragraph" w:customStyle="1" w:styleId="SubHeading2">
    <w:name w:val="SubHeading2"/>
    <w:basedOn w:val="HeadingBase"/>
    <w:rsid w:val="000B5EBA"/>
    <w:pPr>
      <w:spacing w:before="240" w:after="60"/>
    </w:pPr>
    <w:rPr>
      <w:sz w:val="20"/>
    </w:rPr>
  </w:style>
  <w:style w:type="paragraph" w:customStyle="1" w:styleId="SubHeading1">
    <w:name w:val="SubHeading1"/>
    <w:basedOn w:val="HeadingBase"/>
    <w:rsid w:val="000B5EBA"/>
    <w:pPr>
      <w:spacing w:before="240" w:after="60"/>
    </w:pPr>
    <w:rPr>
      <w:color w:val="918585"/>
      <w:sz w:val="22"/>
    </w:rPr>
  </w:style>
  <w:style w:type="paragraph" w:customStyle="1" w:styleId="SideHeading">
    <w:name w:val="Side Heading"/>
    <w:basedOn w:val="HeadingBase"/>
    <w:rsid w:val="000B5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EBA"/>
    <w:pPr>
      <w:tabs>
        <w:tab w:val="num" w:pos="360"/>
      </w:tabs>
    </w:pPr>
  </w:style>
  <w:style w:type="paragraph" w:styleId="PlainText">
    <w:name w:val="Plain Text"/>
    <w:basedOn w:val="Normal"/>
    <w:link w:val="PlainTextChar"/>
    <w:rsid w:val="000B5EBA"/>
    <w:rPr>
      <w:sz w:val="20"/>
    </w:rPr>
  </w:style>
  <w:style w:type="character" w:customStyle="1" w:styleId="PlainTextChar">
    <w:name w:val="Plain Text Char"/>
    <w:basedOn w:val="DefaultParagraphFont"/>
    <w:link w:val="PlainText"/>
    <w:rsid w:val="000B5EBA"/>
    <w:rPr>
      <w:rFonts w:ascii="Courier New" w:eastAsia="Times New Roman" w:hAnsi="Courier New" w:cs="Times New Roman"/>
      <w:sz w:val="20"/>
      <w:szCs w:val="20"/>
      <w:lang w:eastAsia="en-US"/>
    </w:rPr>
  </w:style>
  <w:style w:type="character" w:customStyle="1" w:styleId="MenuOption">
    <w:name w:val="Menu Option"/>
    <w:basedOn w:val="DefaultParagraphFont"/>
    <w:rsid w:val="000B5EBA"/>
    <w:rPr>
      <w:b/>
      <w:smallCaps/>
    </w:rPr>
  </w:style>
  <w:style w:type="paragraph" w:customStyle="1" w:styleId="TableListNumber">
    <w:name w:val="Table List Number"/>
    <w:basedOn w:val="ListNumber"/>
    <w:rsid w:val="000B5EBA"/>
    <w:pPr>
      <w:numPr>
        <w:numId w:val="0"/>
      </w:numPr>
    </w:pPr>
  </w:style>
  <w:style w:type="paragraph" w:styleId="TOC4">
    <w:name w:val="toc 4"/>
    <w:basedOn w:val="TOCBase"/>
    <w:next w:val="Normal"/>
    <w:semiHidden/>
    <w:rsid w:val="000B5EBA"/>
    <w:pPr>
      <w:tabs>
        <w:tab w:val="right" w:leader="dot" w:pos="9071"/>
      </w:tabs>
      <w:ind w:left="1701"/>
    </w:pPr>
  </w:style>
  <w:style w:type="paragraph" w:customStyle="1" w:styleId="ListAlpha">
    <w:name w:val="List Alpha"/>
    <w:basedOn w:val="List"/>
    <w:rsid w:val="000B5EBA"/>
    <w:pPr>
      <w:numPr>
        <w:numId w:val="9"/>
      </w:numPr>
    </w:pPr>
  </w:style>
  <w:style w:type="paragraph" w:customStyle="1" w:styleId="ListAlpha2">
    <w:name w:val="List Alpha 2"/>
    <w:basedOn w:val="List2"/>
    <w:rsid w:val="000B5EBA"/>
    <w:pPr>
      <w:numPr>
        <w:numId w:val="8"/>
      </w:numPr>
    </w:pPr>
  </w:style>
  <w:style w:type="paragraph" w:styleId="List2">
    <w:name w:val="List 2"/>
    <w:basedOn w:val="BodyText"/>
    <w:rsid w:val="000B5EBA"/>
    <w:pPr>
      <w:tabs>
        <w:tab w:val="left" w:pos="680"/>
      </w:tabs>
      <w:spacing w:before="60" w:after="60"/>
      <w:ind w:left="680" w:hanging="340"/>
    </w:pPr>
  </w:style>
  <w:style w:type="paragraph" w:styleId="List3">
    <w:name w:val="List 3"/>
    <w:basedOn w:val="BodyText"/>
    <w:rsid w:val="000B5EBA"/>
    <w:pPr>
      <w:tabs>
        <w:tab w:val="left" w:pos="1021"/>
      </w:tabs>
      <w:spacing w:before="60" w:after="60"/>
      <w:ind w:left="1020" w:hanging="340"/>
    </w:pPr>
  </w:style>
  <w:style w:type="paragraph" w:styleId="List4">
    <w:name w:val="List 4"/>
    <w:basedOn w:val="BodyText"/>
    <w:rsid w:val="000B5EBA"/>
    <w:pPr>
      <w:tabs>
        <w:tab w:val="left" w:pos="1361"/>
      </w:tabs>
      <w:spacing w:before="60" w:after="60"/>
      <w:ind w:left="1361" w:hanging="340"/>
    </w:pPr>
  </w:style>
  <w:style w:type="paragraph" w:styleId="List5">
    <w:name w:val="List 5"/>
    <w:basedOn w:val="BodyText"/>
    <w:rsid w:val="000B5EBA"/>
    <w:pPr>
      <w:tabs>
        <w:tab w:val="left" w:pos="1701"/>
      </w:tabs>
      <w:spacing w:before="60" w:after="60"/>
      <w:ind w:left="1701" w:hanging="340"/>
    </w:pPr>
  </w:style>
  <w:style w:type="paragraph" w:styleId="ListBullet3">
    <w:name w:val="List Bullet 3"/>
    <w:basedOn w:val="List3"/>
    <w:rsid w:val="000B5EBA"/>
    <w:pPr>
      <w:numPr>
        <w:numId w:val="14"/>
      </w:numPr>
      <w:tabs>
        <w:tab w:val="clear" w:pos="1021"/>
      </w:tabs>
      <w:ind w:left="1037" w:hanging="357"/>
    </w:pPr>
  </w:style>
  <w:style w:type="paragraph" w:styleId="ListBullet4">
    <w:name w:val="List Bullet 4"/>
    <w:basedOn w:val="List4"/>
    <w:rsid w:val="000B5EBA"/>
    <w:pPr>
      <w:numPr>
        <w:numId w:val="3"/>
      </w:numPr>
      <w:tabs>
        <w:tab w:val="clear" w:pos="1361"/>
      </w:tabs>
    </w:pPr>
  </w:style>
  <w:style w:type="paragraph" w:styleId="ListBullet5">
    <w:name w:val="List Bullet 5"/>
    <w:basedOn w:val="List5"/>
    <w:rsid w:val="000B5EBA"/>
    <w:pPr>
      <w:numPr>
        <w:numId w:val="4"/>
      </w:numPr>
    </w:pPr>
  </w:style>
  <w:style w:type="paragraph" w:styleId="ListContinue2">
    <w:name w:val="List Continue 2"/>
    <w:basedOn w:val="List2"/>
    <w:rsid w:val="000B5EBA"/>
    <w:pPr>
      <w:ind w:firstLine="0"/>
    </w:pPr>
  </w:style>
  <w:style w:type="paragraph" w:styleId="ListContinue3">
    <w:name w:val="List Continue 3"/>
    <w:basedOn w:val="List3"/>
    <w:rsid w:val="000B5EBA"/>
    <w:pPr>
      <w:ind w:left="1021" w:firstLine="0"/>
    </w:pPr>
  </w:style>
  <w:style w:type="paragraph" w:styleId="ListContinue4">
    <w:name w:val="List Continue 4"/>
    <w:basedOn w:val="List4"/>
    <w:rsid w:val="000B5EBA"/>
    <w:pPr>
      <w:ind w:firstLine="0"/>
    </w:pPr>
  </w:style>
  <w:style w:type="paragraph" w:styleId="ListContinue5">
    <w:name w:val="List Continue 5"/>
    <w:basedOn w:val="List5"/>
    <w:rsid w:val="000B5EBA"/>
    <w:pPr>
      <w:ind w:firstLine="0"/>
    </w:pPr>
  </w:style>
  <w:style w:type="paragraph" w:styleId="ListNumber3">
    <w:name w:val="List Number 3"/>
    <w:basedOn w:val="List3"/>
    <w:rsid w:val="000B5EBA"/>
    <w:pPr>
      <w:numPr>
        <w:numId w:val="5"/>
      </w:numPr>
    </w:pPr>
  </w:style>
  <w:style w:type="paragraph" w:styleId="ListNumber4">
    <w:name w:val="List Number 4"/>
    <w:basedOn w:val="List4"/>
    <w:rsid w:val="000B5EBA"/>
    <w:pPr>
      <w:numPr>
        <w:numId w:val="6"/>
      </w:numPr>
    </w:pPr>
  </w:style>
  <w:style w:type="paragraph" w:styleId="ListNumber5">
    <w:name w:val="List Number 5"/>
    <w:basedOn w:val="List5"/>
    <w:rsid w:val="000B5EBA"/>
    <w:pPr>
      <w:numPr>
        <w:numId w:val="7"/>
      </w:numPr>
    </w:pPr>
  </w:style>
  <w:style w:type="paragraph" w:styleId="BlockText">
    <w:name w:val="Block Text"/>
    <w:basedOn w:val="Normal"/>
    <w:rsid w:val="000B5EBA"/>
    <w:pPr>
      <w:spacing w:after="120"/>
      <w:ind w:left="1440" w:right="1440"/>
    </w:pPr>
  </w:style>
  <w:style w:type="character" w:customStyle="1" w:styleId="Subscript">
    <w:name w:val="Subscript"/>
    <w:basedOn w:val="DefaultParagraphFont"/>
    <w:rsid w:val="000B5EBA"/>
    <w:rPr>
      <w:sz w:val="16"/>
      <w:vertAlign w:val="subscript"/>
    </w:rPr>
  </w:style>
  <w:style w:type="character" w:customStyle="1" w:styleId="Superscript">
    <w:name w:val="Superscript"/>
    <w:basedOn w:val="DefaultParagraphFont"/>
    <w:rsid w:val="000B5EBA"/>
    <w:rPr>
      <w:sz w:val="16"/>
      <w:vertAlign w:val="superscript"/>
    </w:rPr>
  </w:style>
  <w:style w:type="character" w:customStyle="1" w:styleId="Symbols">
    <w:name w:val="Symbols"/>
    <w:basedOn w:val="DefaultParagraphFont"/>
    <w:rsid w:val="000B5EBA"/>
    <w:rPr>
      <w:rFonts w:ascii="Symbol" w:hAnsi="Symbol"/>
    </w:rPr>
  </w:style>
  <w:style w:type="character" w:customStyle="1" w:styleId="MenuOptions">
    <w:name w:val="Menu Options"/>
    <w:basedOn w:val="DefaultParagraphFont"/>
    <w:rsid w:val="000B5EBA"/>
    <w:rPr>
      <w:rFonts w:ascii="Arial Narrow" w:hAnsi="Arial Narrow"/>
      <w:smallCaps/>
    </w:rPr>
  </w:style>
  <w:style w:type="character" w:customStyle="1" w:styleId="Buttons">
    <w:name w:val="Buttons"/>
    <w:basedOn w:val="DefaultParagraphFont"/>
    <w:rsid w:val="000B5EBA"/>
    <w:rPr>
      <w:b/>
    </w:rPr>
  </w:style>
  <w:style w:type="character" w:customStyle="1" w:styleId="Underlined">
    <w:name w:val="Underlined"/>
    <w:basedOn w:val="DefaultParagraphFont"/>
    <w:rsid w:val="000B5EBA"/>
    <w:rPr>
      <w:u w:val="single"/>
    </w:rPr>
  </w:style>
  <w:style w:type="paragraph" w:customStyle="1" w:styleId="TableBodyTextRight">
    <w:name w:val="Table Body Text Right"/>
    <w:basedOn w:val="TableBodyText"/>
    <w:rsid w:val="000B5EBA"/>
    <w:pPr>
      <w:widowControl w:val="0"/>
      <w:autoSpaceDE w:val="0"/>
      <w:autoSpaceDN w:val="0"/>
      <w:adjustRightInd w:val="0"/>
      <w:jc w:val="right"/>
    </w:pPr>
    <w:rPr>
      <w:rFonts w:cs="Arial"/>
      <w:szCs w:val="18"/>
    </w:rPr>
  </w:style>
  <w:style w:type="paragraph" w:customStyle="1" w:styleId="CopyrightText">
    <w:name w:val="Copyright Text"/>
    <w:basedOn w:val="BodyText"/>
    <w:rsid w:val="000B5EBA"/>
    <w:rPr>
      <w:sz w:val="18"/>
    </w:rPr>
  </w:style>
  <w:style w:type="paragraph" w:customStyle="1" w:styleId="BodySmallRight">
    <w:name w:val="Body Small Right"/>
    <w:basedOn w:val="BodyTextRight"/>
    <w:rsid w:val="000B5EBA"/>
    <w:rPr>
      <w:sz w:val="18"/>
      <w:szCs w:val="18"/>
    </w:rPr>
  </w:style>
  <w:style w:type="paragraph" w:customStyle="1" w:styleId="MarginEdition">
    <w:name w:val="Margin Edition"/>
    <w:basedOn w:val="MarginNote"/>
    <w:rsid w:val="000B5EBA"/>
    <w:pPr>
      <w:spacing w:before="0" w:after="0"/>
    </w:pPr>
    <w:rPr>
      <w:rFonts w:ascii="Times New Roman" w:hAnsi="Times New Roman"/>
      <w:color w:val="999999"/>
    </w:rPr>
  </w:style>
  <w:style w:type="paragraph" w:customStyle="1" w:styleId="Spacer">
    <w:name w:val="Spacer"/>
    <w:basedOn w:val="Normal"/>
    <w:rsid w:val="000B5EBA"/>
    <w:rPr>
      <w:sz w:val="2"/>
      <w:szCs w:val="2"/>
    </w:rPr>
  </w:style>
  <w:style w:type="character" w:customStyle="1" w:styleId="Small">
    <w:name w:val="Small"/>
    <w:basedOn w:val="DefaultParagraphFont"/>
    <w:rsid w:val="000B5EBA"/>
    <w:rPr>
      <w:sz w:val="16"/>
    </w:rPr>
  </w:style>
  <w:style w:type="paragraph" w:customStyle="1" w:styleId="WideTable">
    <w:name w:val="Wide Table"/>
    <w:basedOn w:val="Normal"/>
    <w:rsid w:val="000B5EBA"/>
    <w:pPr>
      <w:ind w:left="-1418"/>
    </w:pPr>
    <w:rPr>
      <w:sz w:val="2"/>
      <w:szCs w:val="2"/>
    </w:rPr>
  </w:style>
  <w:style w:type="character" w:styleId="PageNumber">
    <w:name w:val="page number"/>
    <w:basedOn w:val="DefaultParagraphFont"/>
    <w:rsid w:val="000B5EBA"/>
  </w:style>
  <w:style w:type="paragraph" w:styleId="Quote">
    <w:name w:val="Quote"/>
    <w:basedOn w:val="Heading1"/>
    <w:link w:val="QuoteChar"/>
    <w:qFormat/>
    <w:rsid w:val="000B5EBA"/>
    <w:rPr>
      <w:b w:val="0"/>
      <w:sz w:val="72"/>
      <w:szCs w:val="72"/>
      <w:lang w:val="en-NZ"/>
    </w:rPr>
  </w:style>
  <w:style w:type="character" w:customStyle="1" w:styleId="QuoteChar">
    <w:name w:val="Quote Char"/>
    <w:basedOn w:val="DefaultParagraphFont"/>
    <w:link w:val="Quote"/>
    <w:rsid w:val="000B5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EBA"/>
    <w:pPr>
      <w:pageBreakBefore/>
    </w:pPr>
  </w:style>
  <w:style w:type="paragraph" w:customStyle="1" w:styleId="Border">
    <w:name w:val="Border"/>
    <w:basedOn w:val="Normal"/>
    <w:qFormat/>
    <w:rsid w:val="000B5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EBA"/>
    <w:rPr>
      <w:b/>
      <w:bCs/>
      <w:i/>
      <w:iCs/>
      <w:color w:val="auto"/>
    </w:rPr>
  </w:style>
  <w:style w:type="paragraph" w:styleId="IntenseQuote">
    <w:name w:val="Intense Quote"/>
    <w:basedOn w:val="Normal"/>
    <w:next w:val="Normal"/>
    <w:link w:val="IntenseQuoteChar"/>
    <w:uiPriority w:val="30"/>
    <w:qFormat/>
    <w:rsid w:val="000B5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EBA"/>
    <w:rPr>
      <w:smallCaps/>
      <w:color w:val="auto"/>
      <w:u w:val="single"/>
    </w:rPr>
  </w:style>
  <w:style w:type="character" w:styleId="IntenseReference">
    <w:name w:val="Intense Reference"/>
    <w:basedOn w:val="DefaultParagraphFont"/>
    <w:uiPriority w:val="32"/>
    <w:qFormat/>
    <w:rsid w:val="000B5EBA"/>
    <w:rPr>
      <w:b/>
      <w:bCs/>
      <w:smallCaps/>
      <w:color w:val="auto"/>
      <w:spacing w:val="5"/>
      <w:u w:val="single"/>
    </w:rPr>
  </w:style>
  <w:style w:type="paragraph" w:customStyle="1" w:styleId="2ColumnHeading">
    <w:name w:val="2Column Heading"/>
    <w:basedOn w:val="BodyText"/>
    <w:qFormat/>
    <w:rsid w:val="000B5EBA"/>
    <w:pPr>
      <w:spacing w:after="60"/>
      <w:ind w:left="-2268"/>
    </w:pPr>
    <w:rPr>
      <w:b/>
    </w:rPr>
  </w:style>
  <w:style w:type="paragraph" w:customStyle="1" w:styleId="Heading1TOC">
    <w:name w:val="Heading1 TOC"/>
    <w:basedOn w:val="Normal"/>
    <w:qFormat/>
    <w:rsid w:val="000B5EBA"/>
    <w:pPr>
      <w:spacing w:before="240" w:after="120"/>
    </w:pPr>
    <w:rPr>
      <w:rFonts w:ascii="Times New Roman" w:hAnsi="Times New Roman"/>
      <w:b/>
      <w:sz w:val="32"/>
    </w:rPr>
  </w:style>
  <w:style w:type="paragraph" w:customStyle="1" w:styleId="Heading2TOC">
    <w:name w:val="Heading2 TOC"/>
    <w:basedOn w:val="Normal"/>
    <w:qFormat/>
    <w:rsid w:val="000B5EBA"/>
    <w:pPr>
      <w:spacing w:before="240" w:after="60"/>
    </w:pPr>
    <w:rPr>
      <w:rFonts w:ascii="Times New Roman" w:hAnsi="Times New Roman"/>
      <w:b/>
      <w:sz w:val="28"/>
    </w:rPr>
  </w:style>
  <w:style w:type="character" w:customStyle="1" w:styleId="Underline">
    <w:name w:val="Underline"/>
    <w:basedOn w:val="DefaultParagraphFont"/>
    <w:qFormat/>
    <w:rsid w:val="000B5EBA"/>
    <w:rPr>
      <w:u w:val="single"/>
    </w:rPr>
  </w:style>
  <w:style w:type="paragraph" w:styleId="BalloonText">
    <w:name w:val="Balloon Text"/>
    <w:basedOn w:val="Normal"/>
    <w:link w:val="BalloonTextChar"/>
    <w:rsid w:val="000B5EBA"/>
    <w:rPr>
      <w:rFonts w:ascii="Tahoma" w:hAnsi="Tahoma" w:cs="Tahoma"/>
      <w:sz w:val="16"/>
      <w:szCs w:val="16"/>
    </w:rPr>
  </w:style>
  <w:style w:type="character" w:customStyle="1" w:styleId="BalloonTextChar">
    <w:name w:val="Balloon Text Char"/>
    <w:basedOn w:val="DefaultParagraphFont"/>
    <w:link w:val="BalloonText"/>
    <w:rsid w:val="000B5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EBA"/>
    <w:rPr>
      <w:b/>
      <w:color w:val="660033"/>
      <w:spacing w:val="0"/>
    </w:rPr>
  </w:style>
  <w:style w:type="paragraph" w:customStyle="1" w:styleId="Nameditemlist">
    <w:name w:val="Named item list"/>
    <w:basedOn w:val="BodyText"/>
    <w:qFormat/>
    <w:rsid w:val="000B5EBA"/>
    <w:pPr>
      <w:tabs>
        <w:tab w:val="left" w:pos="2835"/>
      </w:tabs>
      <w:ind w:left="2835" w:hanging="2835"/>
    </w:pPr>
  </w:style>
  <w:style w:type="paragraph" w:customStyle="1" w:styleId="BodyTextnopadding">
    <w:name w:val="Body Text no padding"/>
    <w:basedOn w:val="BodyText"/>
    <w:qFormat/>
    <w:rsid w:val="000B5EBA"/>
    <w:pPr>
      <w:spacing w:before="0" w:after="0"/>
    </w:pPr>
  </w:style>
  <w:style w:type="paragraph" w:customStyle="1" w:styleId="BodyTextBold">
    <w:name w:val="Body Text Bold"/>
    <w:basedOn w:val="BodyText"/>
    <w:qFormat/>
    <w:rsid w:val="000B5EBA"/>
    <w:rPr>
      <w:b/>
    </w:rPr>
  </w:style>
  <w:style w:type="character" w:styleId="Hyperlink">
    <w:name w:val="Hyperlink"/>
    <w:basedOn w:val="DefaultParagraphFont"/>
    <w:uiPriority w:val="99"/>
    <w:unhideWhenUsed/>
    <w:rsid w:val="00DA40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896</Words>
  <Characters>5430</Characters>
  <Application>Microsoft Office Word</Application>
  <DocSecurity>0</DocSecurity>
  <Lines>246</Lines>
  <Paragraphs>134</Paragraphs>
  <ScaleCrop>false</ScaleCrop>
  <Company>Author-it Software Corporation Ltd.</Company>
  <LinksUpToDate>false</LinksUpToDate>
  <CharactersWithSpaces>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CPCCSG3014 Manufacture gas-charged glass-formed illuminated signs</dc:title>
  <dc:subject>Approved</dc:subject>
  <dc:creator>BuildSkills Australia</dc:creator>
  <cp:keywords>Release: 1</cp:keywords>
  <dc:description>Review Date: 12 April 2008</dc:description>
  <cp:lastModifiedBy>HSD_TPCMSd.prod</cp:lastModifiedBy>
  <cp:revision>3</cp:revision>
  <dcterms:created xsi:type="dcterms:W3CDTF">2024-12-24T00:55:00Z</dcterms:created>
  <dcterms:modified xsi:type="dcterms:W3CDTF">2024-12-24T00:55:00Z</dcterms:modified>
</cp:coreProperties>
</file>