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D735D7" w:rsidP="00D735D7">
      <w:pPr>
        <w:pStyle w:val="Title"/>
      </w:pPr>
      <w:r>
        <w:fldChar w:fldCharType="begin"/>
      </w:r>
      <w:r>
        <w:instrText xml:space="preserve"> TITLE   \* MERGEFORMAT </w:instrText>
      </w:r>
      <w:r>
        <w:fldChar w:fldCharType="separate"/>
      </w:r>
      <w:r>
        <w:t>CPCCSG3013 Paint letters and decorative effects for signs</w:t>
      </w:r>
      <w:r>
        <w:fldChar w:fldCharType="end"/>
      </w:r>
    </w:p>
    <w:p w:rsidR="00D735D7" w:rsidP="00D735D7">
      <w:pPr>
        <w:pStyle w:val="Version"/>
        <w:sectPr w:rsidSect="00D71EB8">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D71EB8" w:rsidP="00D71EB8">
      <w:pPr>
        <w:pStyle w:val="SuperHeading"/>
      </w:pPr>
      <w:r w:rsidRPr="00D71EB8">
        <w:t>CPCCSG3013 Paint letters and decorative effects for signs</w:t>
      </w:r>
    </w:p>
    <w:p w:rsidR="00000000" w:rsidRPr="00D71EB8" w:rsidP="00D71EB8">
      <w:pPr>
        <w:pStyle w:val="Heading1"/>
      </w:pPr>
      <w:bookmarkStart w:id="1" w:name="O_832252"/>
      <w:bookmarkEnd w:id="1"/>
      <w:r w:rsidRPr="00D71EB8">
        <w:t>Modification History</w:t>
      </w:r>
    </w:p>
    <w:p w:rsidR="00000000" w:rsidRPr="00D71EB8" w:rsidP="00D735D7">
      <w:pPr>
        <w:pStyle w:val="BodyText"/>
      </w:pPr>
      <w:r w:rsidRPr="00D71EB8">
        <w:t>Release 1.</w:t>
      </w:r>
    </w:p>
    <w:p w:rsidR="00000000" w:rsidRPr="00D71EB8" w:rsidP="00D735D7">
      <w:pPr>
        <w:pStyle w:val="BodyText"/>
      </w:pPr>
      <w:r w:rsidRPr="00D71EB8">
        <w:t xml:space="preserve">This version first released with CPC Construction, Plumbing and Services Training Package Version 2. </w:t>
      </w:r>
    </w:p>
    <w:p w:rsidR="00000000" w:rsidRPr="00D71EB8" w:rsidP="00D735D7">
      <w:pPr>
        <w:pStyle w:val="BodyText"/>
      </w:pPr>
      <w:r w:rsidRPr="00D71EB8">
        <w:t>Revised unit of competency. Replaces superseded equivalent CPCCSI2006A Signwrite to simple forms and CPC</w:t>
      </w:r>
      <w:r w:rsidRPr="00D71EB8">
        <w:t>CSI3003A Signwrite to decorative forms.</w:t>
      </w:r>
    </w:p>
    <w:p w:rsidR="00000000" w:rsidRPr="00D71EB8" w:rsidP="00D71EB8">
      <w:pPr>
        <w:pStyle w:val="Heading1"/>
      </w:pPr>
      <w:bookmarkStart w:id="2" w:name="O_832260"/>
      <w:bookmarkEnd w:id="2"/>
      <w:r w:rsidRPr="00D71EB8">
        <w:t>Application</w:t>
      </w:r>
    </w:p>
    <w:p w:rsidR="00000000" w:rsidRPr="00D71EB8" w:rsidP="00D735D7">
      <w:pPr>
        <w:pStyle w:val="BodyText"/>
      </w:pPr>
      <w:r w:rsidRPr="00D71EB8">
        <w:t>This unit of competency specifies the outcomes required to manually paint signs on surfaces, comprised of various letter types and graphics. It covers setting out the sign to scale from a</w:t>
      </w:r>
      <w:r w:rsidRPr="00D71EB8">
        <w:t xml:space="preserve"> smaller design template using different layout methods; selecting and using tools and equipment to paint letters and graphics; and using brush strokes, techniques and decorative effects to achieve the desired result. </w:t>
      </w:r>
    </w:p>
    <w:p w:rsidR="00000000" w:rsidRPr="00D71EB8" w:rsidP="00D735D7">
      <w:pPr>
        <w:pStyle w:val="BodyText"/>
      </w:pPr>
      <w:r w:rsidRPr="00D71EB8">
        <w:t>The unit supports sign manufacturers</w:t>
      </w:r>
      <w:r w:rsidRPr="00D71EB8">
        <w:t xml:space="preserve"> who produce customised signs that are painted directly on to surfaces for a range of purposes, including advertising boards and retail signs.</w:t>
      </w:r>
    </w:p>
    <w:p w:rsidR="00000000" w:rsidRPr="00D71EB8" w:rsidP="00D735D7">
      <w:pPr>
        <w:pStyle w:val="BodyText"/>
      </w:pPr>
      <w:r w:rsidRPr="00D71EB8">
        <w:t>No licensing, legislative, regulatory or certification requirements apply to this unit of competency at the time</w:t>
      </w:r>
      <w:r w:rsidRPr="00D71EB8">
        <w:t xml:space="preserve"> of endorsement.</w:t>
      </w:r>
    </w:p>
    <w:p w:rsidR="00000000" w:rsidRPr="00D71EB8" w:rsidP="00D71EB8">
      <w:pPr>
        <w:pStyle w:val="Heading1"/>
      </w:pPr>
      <w:bookmarkStart w:id="3" w:name="O_832259"/>
      <w:bookmarkEnd w:id="3"/>
      <w:r w:rsidRPr="00D71EB8">
        <w:t>Pre-requisite Unit</w:t>
      </w:r>
    </w:p>
    <w:p w:rsidR="00000000" w:rsidRPr="00D71EB8" w:rsidP="00D735D7">
      <w:pPr>
        <w:pStyle w:val="BodyText"/>
      </w:pPr>
      <w:r w:rsidRPr="00D71EB8">
        <w:t>Nil</w:t>
      </w:r>
    </w:p>
    <w:p w:rsidR="00000000" w:rsidRPr="00D71EB8" w:rsidP="00D71EB8">
      <w:pPr>
        <w:pStyle w:val="Heading1"/>
      </w:pPr>
      <w:bookmarkStart w:id="4" w:name="O_832258"/>
      <w:bookmarkEnd w:id="4"/>
      <w:r w:rsidRPr="00D71EB8">
        <w:t>Competency Field</w:t>
      </w:r>
    </w:p>
    <w:p w:rsidR="00000000" w:rsidRPr="00D71EB8" w:rsidP="00D735D7">
      <w:pPr>
        <w:pStyle w:val="BodyText"/>
      </w:pPr>
      <w:r w:rsidRPr="00D71EB8">
        <w:t>Signs and graphics</w:t>
      </w:r>
    </w:p>
    <w:p w:rsidR="00000000" w:rsidRPr="00D71EB8" w:rsidP="00D71EB8">
      <w:pPr>
        <w:pStyle w:val="Heading1"/>
      </w:pPr>
      <w:bookmarkStart w:id="5" w:name="O_832257"/>
      <w:bookmarkEnd w:id="5"/>
      <w:r w:rsidRPr="00D71EB8">
        <w:t>Unit Sector</w:t>
      </w:r>
    </w:p>
    <w:p w:rsidR="00000000" w:rsidRPr="00D71EB8" w:rsidP="00D735D7">
      <w:pPr>
        <w:pStyle w:val="BodyText"/>
      </w:pPr>
      <w:r w:rsidRPr="00D71EB8">
        <w:t>Construction</w:t>
      </w:r>
    </w:p>
    <w:p w:rsidR="00000000" w:rsidRPr="00D71EB8" w:rsidP="00D71EB8">
      <w:pPr>
        <w:pStyle w:val="Heading1"/>
      </w:pPr>
      <w:bookmarkStart w:id="6" w:name="O_832256"/>
      <w:bookmarkEnd w:id="6"/>
      <w:r w:rsidRPr="00D71EB8">
        <w:t>Elements and Performance Criteria</w:t>
      </w:r>
    </w:p>
    <w:tbl>
      <w:tblPr>
        <w:tblW w:w="0" w:type="auto"/>
        <w:tblLayout w:type="fixed"/>
        <w:tblCellMar>
          <w:left w:w="62" w:type="dxa"/>
          <w:right w:w="62" w:type="dxa"/>
        </w:tblCellMar>
        <w:tblLook w:val="0000"/>
      </w:tblPr>
      <w:tblGrid>
        <w:gridCol w:w="686"/>
        <w:gridCol w:w="1986"/>
        <w:gridCol w:w="779"/>
        <w:gridCol w:w="5678"/>
      </w:tblGrid>
      <w:tr w:rsidTr="00D71EB8">
        <w:tblPrEx>
          <w:tblW w:w="0" w:type="auto"/>
          <w:tblLayout w:type="fixed"/>
          <w:tblCellMar>
            <w:left w:w="62" w:type="dxa"/>
            <w:right w:w="62" w:type="dxa"/>
          </w:tblCellMar>
          <w:tblLook w:val="0000"/>
        </w:tblPrEx>
        <w:tc>
          <w:tcPr>
            <w:tcW w:w="2672" w:type="dxa"/>
            <w:gridSpan w:val="2"/>
            <w:tcBorders>
              <w:top w:val="nil"/>
              <w:left w:val="nil"/>
              <w:bottom w:val="nil"/>
              <w:right w:val="nil"/>
            </w:tcBorders>
            <w:tcMar>
              <w:top w:w="0" w:type="dxa"/>
              <w:left w:w="62" w:type="dxa"/>
              <w:bottom w:w="0" w:type="dxa"/>
              <w:right w:w="62" w:type="dxa"/>
            </w:tcMar>
          </w:tcPr>
          <w:p w:rsidR="00000000" w:rsidP="00D71EB8">
            <w:pPr>
              <w:pStyle w:val="BodyText"/>
              <w:rPr>
                <w:lang w:val="en-NZ"/>
              </w:rPr>
            </w:pPr>
            <w:r w:rsidRPr="00D71EB8">
              <w:t>Elements describe the essential outcomes.</w:t>
            </w:r>
          </w:p>
        </w:tc>
        <w:tc>
          <w:tcPr>
            <w:tcW w:w="6457" w:type="dxa"/>
            <w:gridSpan w:val="2"/>
            <w:tcBorders>
              <w:top w:val="nil"/>
              <w:left w:val="nil"/>
              <w:bottom w:val="nil"/>
              <w:right w:val="nil"/>
            </w:tcBorders>
            <w:tcMar>
              <w:top w:w="0" w:type="dxa"/>
              <w:left w:w="62" w:type="dxa"/>
              <w:bottom w:w="0" w:type="dxa"/>
              <w:right w:w="62" w:type="dxa"/>
            </w:tcMar>
          </w:tcPr>
          <w:p w:rsidR="00000000" w:rsidP="00D71EB8">
            <w:pPr>
              <w:pStyle w:val="BodyText"/>
              <w:rPr>
                <w:lang w:val="en-NZ"/>
              </w:rPr>
            </w:pPr>
            <w:r w:rsidRPr="00D71EB8">
              <w:t>Performance criteria describe the performance needed to demonstrate achievement of the element. Where bold italicised text is used, further information is detailed in the range of conditions.</w:t>
            </w:r>
          </w:p>
        </w:tc>
      </w:tr>
      <w:tr w:rsidTr="00D71EB8">
        <w:tblPrEx>
          <w:tblW w:w="0" w:type="auto"/>
          <w:tblLayout w:type="fixed"/>
          <w:tblCellMar>
            <w:left w:w="62" w:type="dxa"/>
            <w:right w:w="62" w:type="dxa"/>
          </w:tblCellMar>
          <w:tblLook w:val="0000"/>
        </w:tblPrEx>
        <w:tc>
          <w:tcPr>
            <w:tcW w:w="2672" w:type="dxa"/>
            <w:gridSpan w:val="2"/>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457" w:type="dxa"/>
            <w:gridSpan w:val="2"/>
            <w:tcBorders>
              <w:top w:val="nil"/>
              <w:left w:val="nil"/>
              <w:bottom w:val="nil"/>
              <w:right w:val="nil"/>
            </w:tcBorders>
            <w:tcMar>
              <w:top w:w="0" w:type="dxa"/>
              <w:left w:w="62" w:type="dxa"/>
              <w:bottom w:w="0" w:type="dxa"/>
              <w:right w:w="62" w:type="dxa"/>
            </w:tcMar>
          </w:tcPr>
          <w:p w:rsidR="00000000" w:rsidP="00D71EB8">
            <w:pPr>
              <w:pStyle w:val="BodyText"/>
              <w:rPr>
                <w:lang w:val="en-NZ"/>
              </w:rPr>
            </w:pPr>
          </w:p>
        </w:tc>
      </w:tr>
      <w:tr w:rsidTr="00D71EB8">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rsidP="00D71EB8">
            <w:pPr>
              <w:pStyle w:val="BodyText"/>
              <w:rPr>
                <w:lang w:val="en-NZ"/>
              </w:rPr>
            </w:pPr>
            <w:r w:rsidRPr="00D71EB8">
              <w:t>1</w:t>
            </w:r>
          </w:p>
        </w:tc>
        <w:tc>
          <w:tcPr>
            <w:tcW w:w="1986" w:type="dxa"/>
            <w:vMerge w:val="restart"/>
            <w:tcBorders>
              <w:top w:val="nil"/>
              <w:left w:val="nil"/>
              <w:bottom w:val="nil"/>
              <w:right w:val="nil"/>
            </w:tcBorders>
            <w:tcMar>
              <w:top w:w="0" w:type="dxa"/>
              <w:left w:w="62" w:type="dxa"/>
              <w:bottom w:w="0" w:type="dxa"/>
              <w:right w:w="62" w:type="dxa"/>
            </w:tcMar>
          </w:tcPr>
          <w:p w:rsidR="00000000" w:rsidP="00D71EB8">
            <w:pPr>
              <w:pStyle w:val="BodyText"/>
              <w:rPr>
                <w:lang w:val="en-NZ"/>
              </w:rPr>
            </w:pPr>
            <w:r w:rsidRPr="00D71EB8">
              <w:t>Plan and prepare work.</w:t>
            </w:r>
          </w:p>
        </w:tc>
        <w:tc>
          <w:tcPr>
            <w:tcW w:w="779" w:type="dxa"/>
            <w:tcBorders>
              <w:top w:val="nil"/>
              <w:left w:val="nil"/>
              <w:bottom w:val="nil"/>
              <w:right w:val="nil"/>
            </w:tcBorders>
            <w:tcMar>
              <w:top w:w="0" w:type="dxa"/>
              <w:left w:w="62" w:type="dxa"/>
              <w:bottom w:w="0" w:type="dxa"/>
              <w:right w:w="62" w:type="dxa"/>
            </w:tcMar>
          </w:tcPr>
          <w:p w:rsidR="00000000" w:rsidP="00D71EB8">
            <w:pPr>
              <w:pStyle w:val="BodyText"/>
              <w:rPr>
                <w:lang w:val="en-NZ"/>
              </w:rPr>
            </w:pPr>
            <w:r w:rsidRPr="00D71EB8">
              <w:t>1.1</w:t>
            </w:r>
          </w:p>
        </w:tc>
        <w:tc>
          <w:tcPr>
            <w:tcW w:w="5678" w:type="dxa"/>
            <w:tcBorders>
              <w:top w:val="nil"/>
              <w:left w:val="nil"/>
              <w:bottom w:val="nil"/>
              <w:right w:val="nil"/>
            </w:tcBorders>
            <w:tcMar>
              <w:top w:w="0" w:type="dxa"/>
              <w:left w:w="62" w:type="dxa"/>
              <w:bottom w:w="0" w:type="dxa"/>
              <w:right w:w="62" w:type="dxa"/>
            </w:tcMar>
          </w:tcPr>
          <w:p w:rsidR="00000000" w:rsidP="00D71EB8">
            <w:pPr>
              <w:pStyle w:val="BodyText"/>
              <w:rPr>
                <w:lang w:val="en-NZ"/>
              </w:rPr>
            </w:pPr>
            <w:r w:rsidRPr="00D71EB8">
              <w:t>Job requirements are identif</w:t>
            </w:r>
            <w:r w:rsidRPr="00D71EB8">
              <w:t xml:space="preserve">ied from drawings, specifications, instructions and client briefs, confirmed, and applied to planning and preparation. </w:t>
            </w:r>
          </w:p>
        </w:tc>
      </w:tr>
      <w:tr w:rsidTr="00D71EB8">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86"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D71EB8">
            <w:pPr>
              <w:pStyle w:val="BodyText"/>
              <w:rPr>
                <w:lang w:val="en-NZ"/>
              </w:rPr>
            </w:pPr>
            <w:r w:rsidRPr="00D71EB8">
              <w:t>1.2</w:t>
            </w:r>
          </w:p>
        </w:tc>
        <w:tc>
          <w:tcPr>
            <w:tcW w:w="5678" w:type="dxa"/>
            <w:tcBorders>
              <w:top w:val="nil"/>
              <w:left w:val="nil"/>
              <w:bottom w:val="nil"/>
              <w:right w:val="nil"/>
            </w:tcBorders>
            <w:tcMar>
              <w:top w:w="0" w:type="dxa"/>
              <w:left w:w="62" w:type="dxa"/>
              <w:bottom w:w="0" w:type="dxa"/>
              <w:right w:w="62" w:type="dxa"/>
            </w:tcMar>
          </w:tcPr>
          <w:p w:rsidR="00000000" w:rsidP="00D71EB8">
            <w:pPr>
              <w:pStyle w:val="BodyText"/>
              <w:rPr>
                <w:lang w:val="en-NZ"/>
              </w:rPr>
            </w:pPr>
            <w:r w:rsidRPr="00D71EB8">
              <w:t>Work site is assessed and scaffolding requirements are identified and installed according to statutory and licensing requirements.</w:t>
            </w:r>
          </w:p>
        </w:tc>
      </w:tr>
      <w:tr w:rsidTr="00D71EB8">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86"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9" w:type="dxa"/>
            <w:tcBorders>
              <w:top w:val="nil"/>
              <w:left w:val="nil"/>
              <w:bottom w:val="nil"/>
              <w:right w:val="nil"/>
            </w:tcBorders>
            <w:tcMar>
              <w:top w:w="0" w:type="dxa"/>
              <w:left w:w="62" w:type="dxa"/>
              <w:bottom w:w="0" w:type="dxa"/>
              <w:right w:w="62" w:type="dxa"/>
            </w:tcMar>
          </w:tcPr>
          <w:p w:rsidR="00000000" w:rsidRPr="00D71EB8" w:rsidP="00D71EB8">
            <w:pPr>
              <w:pStyle w:val="BodyText"/>
            </w:pPr>
            <w:r w:rsidRPr="00D71EB8">
              <w:t>1.3</w:t>
            </w:r>
          </w:p>
        </w:tc>
        <w:tc>
          <w:tcPr>
            <w:tcW w:w="5678" w:type="dxa"/>
            <w:tcBorders>
              <w:top w:val="nil"/>
              <w:left w:val="nil"/>
              <w:bottom w:val="nil"/>
              <w:right w:val="nil"/>
            </w:tcBorders>
            <w:tcMar>
              <w:top w:w="0" w:type="dxa"/>
              <w:left w:w="62" w:type="dxa"/>
              <w:bottom w:w="0" w:type="dxa"/>
              <w:right w:w="62" w:type="dxa"/>
            </w:tcMar>
          </w:tcPr>
          <w:p w:rsidR="00000000" w:rsidP="00D71EB8">
            <w:pPr>
              <w:pStyle w:val="BodyText"/>
              <w:rPr>
                <w:lang w:val="en-NZ"/>
              </w:rPr>
            </w:pPr>
            <w:r w:rsidRPr="00D71EB8">
              <w:rPr>
                <w:rStyle w:val="BoldandItalics"/>
              </w:rPr>
              <w:t>Health and safety requirements</w:t>
            </w:r>
            <w:r w:rsidRPr="00D71EB8">
              <w:t xml:space="preserve"> are identified and applied to planning. </w:t>
            </w:r>
          </w:p>
        </w:tc>
      </w:tr>
      <w:tr w:rsidTr="00D71EB8">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86"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D71EB8">
            <w:pPr>
              <w:pStyle w:val="BodyText"/>
              <w:rPr>
                <w:lang w:val="en-NZ"/>
              </w:rPr>
            </w:pPr>
            <w:r w:rsidRPr="00D71EB8">
              <w:t>1.4</w:t>
            </w:r>
          </w:p>
        </w:tc>
        <w:tc>
          <w:tcPr>
            <w:tcW w:w="5678" w:type="dxa"/>
            <w:tcBorders>
              <w:top w:val="nil"/>
              <w:left w:val="nil"/>
              <w:bottom w:val="nil"/>
              <w:right w:val="nil"/>
            </w:tcBorders>
            <w:tcMar>
              <w:top w:w="0" w:type="dxa"/>
              <w:left w:w="62" w:type="dxa"/>
              <w:bottom w:w="0" w:type="dxa"/>
              <w:right w:w="62" w:type="dxa"/>
            </w:tcMar>
          </w:tcPr>
          <w:p w:rsidR="00000000" w:rsidP="00D71EB8">
            <w:pPr>
              <w:pStyle w:val="BodyText"/>
              <w:rPr>
                <w:lang w:val="en-NZ"/>
              </w:rPr>
            </w:pPr>
            <w:r w:rsidRPr="00D71EB8">
              <w:t>Sequence of tasks is determined and con</w:t>
            </w:r>
            <w:r w:rsidRPr="00D71EB8">
              <w:t>firmed with relevant personnel.</w:t>
            </w:r>
          </w:p>
        </w:tc>
      </w:tr>
      <w:tr w:rsidTr="00D71EB8">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86"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9" w:type="dxa"/>
            <w:tcBorders>
              <w:top w:val="nil"/>
              <w:left w:val="nil"/>
              <w:bottom w:val="nil"/>
              <w:right w:val="nil"/>
            </w:tcBorders>
            <w:tcMar>
              <w:top w:w="0" w:type="dxa"/>
              <w:left w:w="62" w:type="dxa"/>
              <w:bottom w:w="0" w:type="dxa"/>
              <w:right w:w="62" w:type="dxa"/>
            </w:tcMar>
          </w:tcPr>
          <w:p w:rsidR="00000000" w:rsidRPr="00D71EB8" w:rsidP="00D71EB8">
            <w:pPr>
              <w:pStyle w:val="BodyText"/>
            </w:pPr>
            <w:r w:rsidRPr="00D71EB8">
              <w:t>1.5</w:t>
            </w:r>
          </w:p>
        </w:tc>
        <w:tc>
          <w:tcPr>
            <w:tcW w:w="5678" w:type="dxa"/>
            <w:tcBorders>
              <w:top w:val="nil"/>
              <w:left w:val="nil"/>
              <w:bottom w:val="nil"/>
              <w:right w:val="nil"/>
            </w:tcBorders>
            <w:tcMar>
              <w:top w:w="0" w:type="dxa"/>
              <w:left w:w="62" w:type="dxa"/>
              <w:bottom w:w="0" w:type="dxa"/>
              <w:right w:w="62" w:type="dxa"/>
            </w:tcMar>
          </w:tcPr>
          <w:p w:rsidR="00000000" w:rsidP="00D71EB8">
            <w:pPr>
              <w:pStyle w:val="BodyText"/>
              <w:rPr>
                <w:lang w:val="en-NZ"/>
              </w:rPr>
            </w:pPr>
            <w:r w:rsidRPr="00D71EB8">
              <w:rPr>
                <w:rStyle w:val="BoldandItalics"/>
              </w:rPr>
              <w:t>Tools and equipment</w:t>
            </w:r>
            <w:r w:rsidRPr="00D71EB8">
              <w:t xml:space="preserve"> </w:t>
            </w:r>
            <w:r w:rsidRPr="00D71EB8">
              <w:rPr>
                <w:rStyle w:val="SpecialBold"/>
              </w:rPr>
              <w:t xml:space="preserve">are </w:t>
            </w:r>
            <w:r w:rsidRPr="00D71EB8">
              <w:t>selected to carry out tasks according to job requirements, checked for serviceability, and faults are rectified or reported before starting work.</w:t>
            </w:r>
          </w:p>
        </w:tc>
      </w:tr>
      <w:tr w:rsidTr="00D71EB8">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86"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D71EB8">
            <w:pPr>
              <w:pStyle w:val="BodyText"/>
              <w:rPr>
                <w:lang w:val="en-NZ"/>
              </w:rPr>
            </w:pPr>
            <w:r w:rsidRPr="00D71EB8">
              <w:t>1.6</w:t>
            </w:r>
          </w:p>
        </w:tc>
        <w:tc>
          <w:tcPr>
            <w:tcW w:w="5678" w:type="dxa"/>
            <w:tcBorders>
              <w:top w:val="nil"/>
              <w:left w:val="nil"/>
              <w:bottom w:val="nil"/>
              <w:right w:val="nil"/>
            </w:tcBorders>
            <w:tcMar>
              <w:top w:w="0" w:type="dxa"/>
              <w:left w:w="62" w:type="dxa"/>
              <w:bottom w:w="0" w:type="dxa"/>
              <w:right w:w="62" w:type="dxa"/>
            </w:tcMar>
          </w:tcPr>
          <w:p w:rsidR="00000000" w:rsidRPr="00D71EB8" w:rsidP="00D71EB8">
            <w:pPr>
              <w:pStyle w:val="BodyText"/>
            </w:pPr>
            <w:r w:rsidRPr="00D71EB8">
              <w:t>Colour selection is determined, consistent with job requirements.</w:t>
            </w:r>
          </w:p>
        </w:tc>
      </w:tr>
    </w:tbl>
    <w:p w:rsidR="00000000" w:rsidRPr="00D71EB8" w:rsidP="00D71EB8">
      <w:pPr>
        <w:pStyle w:val="BodyText"/>
      </w:pPr>
    </w:p>
    <w:tbl>
      <w:tblPr>
        <w:tblW w:w="0" w:type="auto"/>
        <w:tblLayout w:type="fixed"/>
        <w:tblCellMar>
          <w:left w:w="62" w:type="dxa"/>
          <w:right w:w="62" w:type="dxa"/>
        </w:tblCellMar>
        <w:tblLook w:val="0000"/>
      </w:tblPr>
      <w:tblGrid>
        <w:gridCol w:w="686"/>
        <w:gridCol w:w="1985"/>
        <w:gridCol w:w="779"/>
        <w:gridCol w:w="5678"/>
      </w:tblGrid>
      <w:tr w:rsidTr="00D71EB8">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rsidP="00D71EB8">
            <w:pPr>
              <w:pStyle w:val="BodyText"/>
              <w:rPr>
                <w:lang w:val="en-NZ"/>
              </w:rPr>
            </w:pPr>
            <w:r w:rsidRPr="00D71EB8">
              <w:t>2</w:t>
            </w:r>
          </w:p>
        </w:tc>
        <w:tc>
          <w:tcPr>
            <w:tcW w:w="1985" w:type="dxa"/>
            <w:vMerge w:val="restart"/>
            <w:tcBorders>
              <w:top w:val="nil"/>
              <w:left w:val="nil"/>
              <w:bottom w:val="nil"/>
              <w:right w:val="nil"/>
            </w:tcBorders>
            <w:tcMar>
              <w:top w:w="0" w:type="dxa"/>
              <w:left w:w="62" w:type="dxa"/>
              <w:bottom w:w="0" w:type="dxa"/>
              <w:right w:w="62" w:type="dxa"/>
            </w:tcMar>
          </w:tcPr>
          <w:p w:rsidR="00000000" w:rsidP="00D71EB8">
            <w:pPr>
              <w:pStyle w:val="BodyText"/>
              <w:rPr>
                <w:lang w:val="en-NZ"/>
              </w:rPr>
            </w:pPr>
            <w:r w:rsidRPr="00D71EB8">
              <w:t>Lay out sign.</w:t>
            </w:r>
          </w:p>
        </w:tc>
        <w:tc>
          <w:tcPr>
            <w:tcW w:w="779" w:type="dxa"/>
            <w:tcBorders>
              <w:top w:val="nil"/>
              <w:left w:val="nil"/>
              <w:bottom w:val="nil"/>
              <w:right w:val="nil"/>
            </w:tcBorders>
            <w:tcMar>
              <w:top w:w="0" w:type="dxa"/>
              <w:left w:w="62" w:type="dxa"/>
              <w:bottom w:w="0" w:type="dxa"/>
              <w:right w:w="62" w:type="dxa"/>
            </w:tcMar>
          </w:tcPr>
          <w:p w:rsidR="00000000" w:rsidP="00D71EB8">
            <w:pPr>
              <w:pStyle w:val="BodyText"/>
              <w:rPr>
                <w:lang w:val="en-NZ"/>
              </w:rPr>
            </w:pPr>
            <w:r w:rsidRPr="00D71EB8">
              <w:t>2.1</w:t>
            </w:r>
          </w:p>
        </w:tc>
        <w:tc>
          <w:tcPr>
            <w:tcW w:w="5678" w:type="dxa"/>
            <w:tcBorders>
              <w:top w:val="nil"/>
              <w:left w:val="nil"/>
              <w:bottom w:val="nil"/>
              <w:right w:val="nil"/>
            </w:tcBorders>
            <w:tcMar>
              <w:top w:w="0" w:type="dxa"/>
              <w:left w:w="62" w:type="dxa"/>
              <w:bottom w:w="0" w:type="dxa"/>
              <w:right w:w="62" w:type="dxa"/>
            </w:tcMar>
          </w:tcPr>
          <w:p w:rsidR="00000000" w:rsidP="00D71EB8">
            <w:pPr>
              <w:pStyle w:val="BodyText"/>
              <w:rPr>
                <w:lang w:val="en-NZ"/>
              </w:rPr>
            </w:pPr>
            <w:r w:rsidRPr="00D71EB8">
              <w:t>Size and dimensions of sign to be painted are calculated according to sign design and job requirements.</w:t>
            </w:r>
          </w:p>
        </w:tc>
      </w:tr>
      <w:tr w:rsidTr="00D71EB8">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85"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D71EB8">
            <w:pPr>
              <w:pStyle w:val="BodyText"/>
              <w:rPr>
                <w:lang w:val="en-NZ"/>
              </w:rPr>
            </w:pPr>
            <w:r w:rsidRPr="00D71EB8">
              <w:t>2.2</w:t>
            </w:r>
          </w:p>
        </w:tc>
        <w:tc>
          <w:tcPr>
            <w:tcW w:w="5678" w:type="dxa"/>
            <w:tcBorders>
              <w:top w:val="nil"/>
              <w:left w:val="nil"/>
              <w:bottom w:val="nil"/>
              <w:right w:val="nil"/>
            </w:tcBorders>
            <w:tcMar>
              <w:top w:w="0" w:type="dxa"/>
              <w:left w:w="62" w:type="dxa"/>
              <w:bottom w:w="0" w:type="dxa"/>
              <w:right w:w="62" w:type="dxa"/>
            </w:tcMar>
          </w:tcPr>
          <w:p w:rsidR="00000000" w:rsidRPr="00D71EB8" w:rsidP="00D71EB8">
            <w:pPr>
              <w:pStyle w:val="BodyText"/>
            </w:pPr>
            <w:r w:rsidRPr="00D71EB8">
              <w:t xml:space="preserve">Layout method is selected according to size and scale of </w:t>
            </w:r>
            <w:r w:rsidRPr="00D71EB8">
              <w:t>the work and is implemented.</w:t>
            </w:r>
          </w:p>
        </w:tc>
      </w:tr>
    </w:tbl>
    <w:p w:rsidR="00000000" w:rsidRPr="00D71EB8" w:rsidP="00D71EB8">
      <w:pPr>
        <w:pStyle w:val="BodyText"/>
      </w:pPr>
    </w:p>
    <w:tbl>
      <w:tblPr>
        <w:tblW w:w="0" w:type="auto"/>
        <w:tblLayout w:type="fixed"/>
        <w:tblCellMar>
          <w:left w:w="62" w:type="dxa"/>
          <w:right w:w="62" w:type="dxa"/>
        </w:tblCellMar>
        <w:tblLook w:val="0000"/>
      </w:tblPr>
      <w:tblGrid>
        <w:gridCol w:w="686"/>
        <w:gridCol w:w="1985"/>
        <w:gridCol w:w="779"/>
        <w:gridCol w:w="5678"/>
      </w:tblGrid>
      <w:tr w:rsidTr="00D71EB8">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rsidP="00D71EB8">
            <w:pPr>
              <w:pStyle w:val="BodyText"/>
              <w:rPr>
                <w:lang w:val="en-NZ"/>
              </w:rPr>
            </w:pPr>
            <w:r w:rsidRPr="00D71EB8">
              <w:t>3</w:t>
            </w:r>
          </w:p>
        </w:tc>
        <w:tc>
          <w:tcPr>
            <w:tcW w:w="1985" w:type="dxa"/>
            <w:vMerge w:val="restart"/>
            <w:tcBorders>
              <w:top w:val="nil"/>
              <w:left w:val="nil"/>
              <w:bottom w:val="nil"/>
              <w:right w:val="nil"/>
            </w:tcBorders>
            <w:tcMar>
              <w:top w:w="0" w:type="dxa"/>
              <w:left w:w="62" w:type="dxa"/>
              <w:bottom w:w="0" w:type="dxa"/>
              <w:right w:w="62" w:type="dxa"/>
            </w:tcMar>
          </w:tcPr>
          <w:p w:rsidR="00000000" w:rsidP="00D71EB8">
            <w:pPr>
              <w:pStyle w:val="BodyText"/>
              <w:rPr>
                <w:lang w:val="en-NZ"/>
              </w:rPr>
            </w:pPr>
            <w:r w:rsidRPr="00D71EB8">
              <w:t>Produce lettering and graphics.</w:t>
            </w:r>
          </w:p>
        </w:tc>
        <w:tc>
          <w:tcPr>
            <w:tcW w:w="779" w:type="dxa"/>
            <w:tcBorders>
              <w:top w:val="nil"/>
              <w:left w:val="nil"/>
              <w:bottom w:val="nil"/>
              <w:right w:val="nil"/>
            </w:tcBorders>
            <w:tcMar>
              <w:top w:w="0" w:type="dxa"/>
              <w:left w:w="62" w:type="dxa"/>
              <w:bottom w:w="0" w:type="dxa"/>
              <w:right w:w="62" w:type="dxa"/>
            </w:tcMar>
          </w:tcPr>
          <w:p w:rsidR="00000000" w:rsidP="00D71EB8">
            <w:pPr>
              <w:pStyle w:val="BodyText"/>
              <w:rPr>
                <w:lang w:val="en-NZ"/>
              </w:rPr>
            </w:pPr>
            <w:r w:rsidRPr="00D71EB8">
              <w:t>3.1</w:t>
            </w:r>
          </w:p>
        </w:tc>
        <w:tc>
          <w:tcPr>
            <w:tcW w:w="5678" w:type="dxa"/>
            <w:tcBorders>
              <w:top w:val="nil"/>
              <w:left w:val="nil"/>
              <w:bottom w:val="nil"/>
              <w:right w:val="nil"/>
            </w:tcBorders>
            <w:tcMar>
              <w:top w:w="0" w:type="dxa"/>
              <w:left w:w="62" w:type="dxa"/>
              <w:bottom w:w="0" w:type="dxa"/>
              <w:right w:w="62" w:type="dxa"/>
            </w:tcMar>
          </w:tcPr>
          <w:p w:rsidR="00000000" w:rsidP="00D71EB8">
            <w:pPr>
              <w:pStyle w:val="BodyText"/>
              <w:rPr>
                <w:lang w:val="en-NZ"/>
              </w:rPr>
            </w:pPr>
            <w:r w:rsidRPr="00D71EB8">
              <w:t xml:space="preserve">Surface is prepared according to job specifications. </w:t>
            </w:r>
          </w:p>
        </w:tc>
      </w:tr>
      <w:tr w:rsidTr="00D71EB8">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85"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D71EB8">
            <w:pPr>
              <w:pStyle w:val="BodyText"/>
              <w:rPr>
                <w:lang w:val="en-NZ"/>
              </w:rPr>
            </w:pPr>
            <w:r w:rsidRPr="00D71EB8">
              <w:t>3.2</w:t>
            </w:r>
          </w:p>
        </w:tc>
        <w:tc>
          <w:tcPr>
            <w:tcW w:w="5678" w:type="dxa"/>
            <w:tcBorders>
              <w:top w:val="nil"/>
              <w:left w:val="nil"/>
              <w:bottom w:val="nil"/>
              <w:right w:val="nil"/>
            </w:tcBorders>
            <w:tcMar>
              <w:top w:w="0" w:type="dxa"/>
              <w:left w:w="62" w:type="dxa"/>
              <w:bottom w:w="0" w:type="dxa"/>
              <w:right w:w="62" w:type="dxa"/>
            </w:tcMar>
          </w:tcPr>
          <w:p w:rsidR="00000000" w:rsidP="00D71EB8">
            <w:pPr>
              <w:pStyle w:val="BodyText"/>
              <w:rPr>
                <w:lang w:val="en-NZ"/>
              </w:rPr>
            </w:pPr>
            <w:r w:rsidRPr="00D71EB8">
              <w:t>Letters are painted on to surface using tools, equipment and sign-writing techniques according to job requirements.</w:t>
            </w:r>
          </w:p>
        </w:tc>
      </w:tr>
      <w:tr w:rsidTr="00D71EB8">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85"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D71EB8">
            <w:pPr>
              <w:pStyle w:val="BodyText"/>
              <w:rPr>
                <w:lang w:val="en-NZ"/>
              </w:rPr>
            </w:pPr>
            <w:r w:rsidRPr="00D71EB8">
              <w:t>3.3</w:t>
            </w:r>
          </w:p>
        </w:tc>
        <w:tc>
          <w:tcPr>
            <w:tcW w:w="5678" w:type="dxa"/>
            <w:tcBorders>
              <w:top w:val="nil"/>
              <w:left w:val="nil"/>
              <w:bottom w:val="nil"/>
              <w:right w:val="nil"/>
            </w:tcBorders>
            <w:tcMar>
              <w:top w:w="0" w:type="dxa"/>
              <w:left w:w="62" w:type="dxa"/>
              <w:bottom w:w="0" w:type="dxa"/>
              <w:right w:w="62" w:type="dxa"/>
            </w:tcMar>
          </w:tcPr>
          <w:p w:rsidR="00000000" w:rsidP="00D71EB8">
            <w:pPr>
              <w:pStyle w:val="BodyText"/>
              <w:rPr>
                <w:lang w:val="en-NZ"/>
              </w:rPr>
            </w:pPr>
            <w:r w:rsidRPr="00D71EB8">
              <w:t xml:space="preserve">Letter spacing is consistently applied according to job requirements. </w:t>
            </w:r>
          </w:p>
        </w:tc>
      </w:tr>
      <w:tr w:rsidTr="00D71EB8">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85"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D71EB8">
            <w:pPr>
              <w:pStyle w:val="BodyText"/>
              <w:rPr>
                <w:lang w:val="en-NZ"/>
              </w:rPr>
            </w:pPr>
            <w:r w:rsidRPr="00D71EB8">
              <w:t>3.4</w:t>
            </w:r>
          </w:p>
        </w:tc>
        <w:tc>
          <w:tcPr>
            <w:tcW w:w="5678" w:type="dxa"/>
            <w:tcBorders>
              <w:top w:val="nil"/>
              <w:left w:val="nil"/>
              <w:bottom w:val="nil"/>
              <w:right w:val="nil"/>
            </w:tcBorders>
            <w:tcMar>
              <w:top w:w="0" w:type="dxa"/>
              <w:left w:w="62" w:type="dxa"/>
              <w:bottom w:w="0" w:type="dxa"/>
              <w:right w:w="62" w:type="dxa"/>
            </w:tcMar>
          </w:tcPr>
          <w:p w:rsidR="00000000" w:rsidP="00D71EB8">
            <w:pPr>
              <w:pStyle w:val="BodyText"/>
              <w:rPr>
                <w:lang w:val="en-NZ"/>
              </w:rPr>
            </w:pPr>
            <w:r w:rsidRPr="00D71EB8">
              <w:t xml:space="preserve">Errors in paint application are identified and rectified </w:t>
            </w:r>
            <w:r w:rsidRPr="00D71EB8">
              <w:t>through the sign-writing process.</w:t>
            </w:r>
          </w:p>
        </w:tc>
      </w:tr>
      <w:tr w:rsidTr="00D71EB8">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85"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9" w:type="dxa"/>
            <w:tcBorders>
              <w:top w:val="nil"/>
              <w:left w:val="nil"/>
              <w:bottom w:val="nil"/>
              <w:right w:val="nil"/>
            </w:tcBorders>
            <w:tcMar>
              <w:top w:w="0" w:type="dxa"/>
              <w:left w:w="62" w:type="dxa"/>
              <w:bottom w:w="0" w:type="dxa"/>
              <w:right w:w="62" w:type="dxa"/>
            </w:tcMar>
          </w:tcPr>
          <w:p w:rsidR="00000000" w:rsidRPr="00D71EB8" w:rsidP="00D71EB8">
            <w:pPr>
              <w:pStyle w:val="BodyText"/>
            </w:pPr>
            <w:r w:rsidRPr="00D71EB8">
              <w:t>3.5</w:t>
            </w:r>
          </w:p>
        </w:tc>
        <w:tc>
          <w:tcPr>
            <w:tcW w:w="5678" w:type="dxa"/>
            <w:tcBorders>
              <w:top w:val="nil"/>
              <w:left w:val="nil"/>
              <w:bottom w:val="nil"/>
              <w:right w:val="nil"/>
            </w:tcBorders>
            <w:tcMar>
              <w:top w:w="0" w:type="dxa"/>
              <w:left w:w="62" w:type="dxa"/>
              <w:bottom w:w="0" w:type="dxa"/>
              <w:right w:w="62" w:type="dxa"/>
            </w:tcMar>
          </w:tcPr>
          <w:p w:rsidR="00000000" w:rsidP="00D71EB8">
            <w:pPr>
              <w:pStyle w:val="BodyText"/>
              <w:rPr>
                <w:lang w:val="en-NZ"/>
              </w:rPr>
            </w:pPr>
            <w:r w:rsidRPr="00D71EB8">
              <w:rPr>
                <w:rStyle w:val="BoldandItalics"/>
              </w:rPr>
              <w:t>Decorative effects</w:t>
            </w:r>
            <w:r w:rsidRPr="00D71EB8">
              <w:t xml:space="preserve"> are applied to letters according to job requirements.</w:t>
            </w:r>
          </w:p>
        </w:tc>
      </w:tr>
      <w:tr w:rsidTr="00D71EB8">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85"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D71EB8">
            <w:pPr>
              <w:pStyle w:val="BodyText"/>
              <w:rPr>
                <w:lang w:val="en-NZ"/>
              </w:rPr>
            </w:pPr>
            <w:r w:rsidRPr="00D71EB8">
              <w:t>3.6</w:t>
            </w:r>
          </w:p>
        </w:tc>
        <w:tc>
          <w:tcPr>
            <w:tcW w:w="5678" w:type="dxa"/>
            <w:tcBorders>
              <w:top w:val="nil"/>
              <w:left w:val="nil"/>
              <w:bottom w:val="nil"/>
              <w:right w:val="nil"/>
            </w:tcBorders>
            <w:tcMar>
              <w:top w:w="0" w:type="dxa"/>
              <w:left w:w="62" w:type="dxa"/>
              <w:bottom w:w="0" w:type="dxa"/>
              <w:right w:w="62" w:type="dxa"/>
            </w:tcMar>
          </w:tcPr>
          <w:p w:rsidR="00000000" w:rsidRPr="00D71EB8" w:rsidP="00D71EB8">
            <w:pPr>
              <w:pStyle w:val="BodyText"/>
            </w:pPr>
            <w:r w:rsidRPr="00D71EB8">
              <w:t>Graphics are painted on to surface using tools, equipment and brush techniques according to job requirements.</w:t>
            </w:r>
          </w:p>
        </w:tc>
      </w:tr>
    </w:tbl>
    <w:p w:rsidR="00000000" w:rsidRPr="00D71EB8" w:rsidP="00D71EB8">
      <w:pPr>
        <w:pStyle w:val="BodyText"/>
      </w:pPr>
    </w:p>
    <w:tbl>
      <w:tblPr>
        <w:tblW w:w="0" w:type="auto"/>
        <w:tblLayout w:type="fixed"/>
        <w:tblCellMar>
          <w:left w:w="62" w:type="dxa"/>
          <w:right w:w="62" w:type="dxa"/>
        </w:tblCellMar>
        <w:tblLook w:val="0000"/>
      </w:tblPr>
      <w:tblGrid>
        <w:gridCol w:w="686"/>
        <w:gridCol w:w="1985"/>
        <w:gridCol w:w="779"/>
        <w:gridCol w:w="5678"/>
      </w:tblGrid>
      <w:tr w:rsidTr="00D71EB8">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rsidP="00D71EB8">
            <w:pPr>
              <w:pStyle w:val="BodyText"/>
              <w:rPr>
                <w:lang w:val="en-NZ"/>
              </w:rPr>
            </w:pPr>
            <w:r w:rsidRPr="00D71EB8">
              <w:t>4</w:t>
            </w:r>
          </w:p>
        </w:tc>
        <w:tc>
          <w:tcPr>
            <w:tcW w:w="1985" w:type="dxa"/>
            <w:vMerge w:val="restart"/>
            <w:tcBorders>
              <w:top w:val="nil"/>
              <w:left w:val="nil"/>
              <w:bottom w:val="nil"/>
              <w:right w:val="nil"/>
            </w:tcBorders>
            <w:tcMar>
              <w:top w:w="0" w:type="dxa"/>
              <w:left w:w="62" w:type="dxa"/>
              <w:bottom w:w="0" w:type="dxa"/>
              <w:right w:w="62" w:type="dxa"/>
            </w:tcMar>
          </w:tcPr>
          <w:p w:rsidR="00000000" w:rsidP="00D71EB8">
            <w:pPr>
              <w:pStyle w:val="BodyText"/>
              <w:rPr>
                <w:lang w:val="en-NZ"/>
              </w:rPr>
            </w:pPr>
            <w:r w:rsidRPr="00D71EB8">
              <w:t>Clean up.</w:t>
            </w:r>
          </w:p>
        </w:tc>
        <w:tc>
          <w:tcPr>
            <w:tcW w:w="779" w:type="dxa"/>
            <w:tcBorders>
              <w:top w:val="nil"/>
              <w:left w:val="nil"/>
              <w:bottom w:val="nil"/>
              <w:right w:val="nil"/>
            </w:tcBorders>
            <w:tcMar>
              <w:top w:w="0" w:type="dxa"/>
              <w:left w:w="62" w:type="dxa"/>
              <w:bottom w:w="0" w:type="dxa"/>
              <w:right w:w="62" w:type="dxa"/>
            </w:tcMar>
          </w:tcPr>
          <w:p w:rsidR="00000000" w:rsidP="00D71EB8">
            <w:pPr>
              <w:pStyle w:val="BodyText"/>
              <w:rPr>
                <w:lang w:val="en-NZ"/>
              </w:rPr>
            </w:pPr>
            <w:r w:rsidRPr="00D71EB8">
              <w:t>4.1</w:t>
            </w:r>
          </w:p>
        </w:tc>
        <w:tc>
          <w:tcPr>
            <w:tcW w:w="5678" w:type="dxa"/>
            <w:tcBorders>
              <w:top w:val="nil"/>
              <w:left w:val="nil"/>
              <w:bottom w:val="nil"/>
              <w:right w:val="nil"/>
            </w:tcBorders>
            <w:tcMar>
              <w:top w:w="0" w:type="dxa"/>
              <w:left w:w="62" w:type="dxa"/>
              <w:bottom w:w="0" w:type="dxa"/>
              <w:right w:w="62" w:type="dxa"/>
            </w:tcMar>
          </w:tcPr>
          <w:p w:rsidR="00000000" w:rsidP="00D71EB8">
            <w:pPr>
              <w:pStyle w:val="BodyText"/>
              <w:rPr>
                <w:lang w:val="en-NZ"/>
              </w:rPr>
            </w:pPr>
            <w:r w:rsidRPr="00D71EB8">
              <w:t xml:space="preserve">Finished sign and surrounding surface environment are cleaned and waste materials removed according to statutory and regulatory </w:t>
            </w:r>
            <w:r w:rsidRPr="00D71EB8">
              <w:t xml:space="preserve">authority requirements. </w:t>
            </w:r>
          </w:p>
        </w:tc>
      </w:tr>
      <w:tr w:rsidTr="00D71EB8">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85"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D71EB8">
            <w:pPr>
              <w:pStyle w:val="BodyText"/>
              <w:rPr>
                <w:lang w:val="en-NZ"/>
              </w:rPr>
            </w:pPr>
            <w:r w:rsidRPr="00D71EB8">
              <w:t>4.2</w:t>
            </w:r>
          </w:p>
        </w:tc>
        <w:tc>
          <w:tcPr>
            <w:tcW w:w="5678" w:type="dxa"/>
            <w:tcBorders>
              <w:top w:val="nil"/>
              <w:left w:val="nil"/>
              <w:bottom w:val="nil"/>
              <w:right w:val="nil"/>
            </w:tcBorders>
            <w:tcMar>
              <w:top w:w="0" w:type="dxa"/>
              <w:left w:w="62" w:type="dxa"/>
              <w:bottom w:w="0" w:type="dxa"/>
              <w:right w:w="62" w:type="dxa"/>
            </w:tcMar>
          </w:tcPr>
          <w:p w:rsidR="00000000" w:rsidRPr="00D71EB8" w:rsidP="00D71EB8">
            <w:pPr>
              <w:pStyle w:val="BodyText"/>
            </w:pPr>
            <w:r w:rsidRPr="00D71EB8">
              <w:t>Tools and equipment, including personal protective equipment (PPE), are cleaned, maintained and stored according to workplace requirements.</w:t>
            </w:r>
          </w:p>
        </w:tc>
      </w:tr>
    </w:tbl>
    <w:p w:rsidR="00000000" w:rsidRPr="00D71EB8" w:rsidP="00D71EB8">
      <w:pPr>
        <w:pStyle w:val="BodyText"/>
      </w:pPr>
    </w:p>
    <w:p w:rsidR="00000000" w:rsidRPr="00D71EB8" w:rsidP="00D71EB8">
      <w:pPr>
        <w:pStyle w:val="AllowPageBreak"/>
      </w:pPr>
    </w:p>
    <w:p w:rsidR="00000000" w:rsidRPr="00D71EB8" w:rsidP="00D71EB8">
      <w:pPr>
        <w:pStyle w:val="Heading1"/>
      </w:pPr>
      <w:bookmarkStart w:id="7" w:name="O_832255"/>
      <w:bookmarkEnd w:id="7"/>
      <w:r w:rsidRPr="00D71EB8">
        <w:t>Foundation Skills</w:t>
      </w:r>
    </w:p>
    <w:tbl>
      <w:tblPr>
        <w:tblW w:w="0" w:type="auto"/>
        <w:tblLayout w:type="fixed"/>
        <w:tblCellMar>
          <w:left w:w="62" w:type="dxa"/>
          <w:right w:w="62" w:type="dxa"/>
        </w:tblCellMar>
        <w:tblLook w:val="0000"/>
      </w:tblPr>
      <w:tblGrid>
        <w:gridCol w:w="2212"/>
        <w:gridCol w:w="6750"/>
      </w:tblGrid>
      <w:tr w:rsidTr="00D71EB8">
        <w:tblPrEx>
          <w:tblW w:w="0" w:type="auto"/>
          <w:tblLayout w:type="fixed"/>
          <w:tblCellMar>
            <w:left w:w="62" w:type="dxa"/>
            <w:right w:w="62" w:type="dxa"/>
          </w:tblCellMar>
          <w:tblLook w:val="0000"/>
        </w:tblPrEx>
        <w:trPr>
          <w:tblHeader/>
        </w:trPr>
        <w:tc>
          <w:tcPr>
            <w:tcW w:w="8962" w:type="dxa"/>
            <w:gridSpan w:val="2"/>
            <w:tcBorders>
              <w:top w:val="nil"/>
              <w:left w:val="nil"/>
              <w:bottom w:val="nil"/>
              <w:right w:val="nil"/>
            </w:tcBorders>
            <w:tcMar>
              <w:top w:w="0" w:type="dxa"/>
              <w:left w:w="62" w:type="dxa"/>
              <w:bottom w:w="0" w:type="dxa"/>
              <w:right w:w="62" w:type="dxa"/>
            </w:tcMar>
          </w:tcPr>
          <w:p w:rsidR="00000000" w:rsidP="00D71EB8">
            <w:pPr>
              <w:pStyle w:val="BodyText"/>
              <w:rPr>
                <w:lang w:val="en-NZ"/>
              </w:rPr>
            </w:pPr>
            <w:r w:rsidRPr="00D71EB8">
              <w:t>This section describes the lang</w:t>
            </w:r>
            <w:r w:rsidRPr="00D71EB8">
              <w:t>uage, literacy, numeracy and employment skills essential to performance in this unit but not explicit in the performance criteria.</w:t>
            </w:r>
          </w:p>
        </w:tc>
      </w:tr>
      <w:tr w:rsidTr="00D71EB8">
        <w:tblPrEx>
          <w:tblW w:w="0" w:type="auto"/>
          <w:tblLayout w:type="fixed"/>
          <w:tblCellMar>
            <w:left w:w="62" w:type="dxa"/>
            <w:right w:w="62" w:type="dxa"/>
          </w:tblCellMar>
          <w:tblLook w:val="0000"/>
        </w:tblPrEx>
        <w:trPr>
          <w:tblHeader/>
        </w:trPr>
        <w:tc>
          <w:tcPr>
            <w:tcW w:w="2212" w:type="dxa"/>
            <w:tcBorders>
              <w:top w:val="nil"/>
              <w:left w:val="nil"/>
              <w:bottom w:val="nil"/>
              <w:right w:val="nil"/>
            </w:tcBorders>
            <w:tcMar>
              <w:top w:w="0" w:type="dxa"/>
              <w:left w:w="62" w:type="dxa"/>
              <w:bottom w:w="0" w:type="dxa"/>
              <w:right w:w="62" w:type="dxa"/>
            </w:tcMar>
          </w:tcPr>
          <w:p w:rsidR="00000000" w:rsidRPr="00D71EB8" w:rsidP="00D71EB8">
            <w:pPr>
              <w:pStyle w:val="BodyText"/>
            </w:pPr>
            <w:r w:rsidRPr="00D71EB8">
              <w:rPr>
                <w:rStyle w:val="SpecialBold"/>
              </w:rPr>
              <w:t>Skill</w:t>
            </w:r>
          </w:p>
        </w:tc>
        <w:tc>
          <w:tcPr>
            <w:tcW w:w="6750" w:type="dxa"/>
            <w:tcBorders>
              <w:top w:val="nil"/>
              <w:left w:val="nil"/>
              <w:bottom w:val="nil"/>
              <w:right w:val="nil"/>
            </w:tcBorders>
            <w:tcMar>
              <w:top w:w="0" w:type="dxa"/>
              <w:left w:w="62" w:type="dxa"/>
              <w:bottom w:w="0" w:type="dxa"/>
              <w:right w:w="62" w:type="dxa"/>
            </w:tcMar>
          </w:tcPr>
          <w:p w:rsidR="00000000" w:rsidP="00D71EB8">
            <w:pPr>
              <w:pStyle w:val="BodyText"/>
              <w:rPr>
                <w:lang w:val="en-NZ"/>
              </w:rPr>
            </w:pPr>
            <w:r w:rsidRPr="00D71EB8">
              <w:rPr>
                <w:rStyle w:val="SpecialBold"/>
              </w:rPr>
              <w:t>Performance feature</w:t>
            </w:r>
          </w:p>
        </w:tc>
      </w:tr>
      <w:tr w:rsidTr="00D71EB8">
        <w:tblPrEx>
          <w:tblW w:w="0" w:type="auto"/>
          <w:tblLayout w:type="fixed"/>
          <w:tblCellMar>
            <w:left w:w="62" w:type="dxa"/>
            <w:right w:w="62" w:type="dxa"/>
          </w:tblCellMar>
          <w:tblLook w:val="0000"/>
        </w:tblPrEx>
        <w:tc>
          <w:tcPr>
            <w:tcW w:w="2212" w:type="dxa"/>
            <w:tcBorders>
              <w:top w:val="nil"/>
              <w:left w:val="nil"/>
              <w:bottom w:val="nil"/>
              <w:right w:val="nil"/>
            </w:tcBorders>
            <w:tcMar>
              <w:top w:w="0" w:type="dxa"/>
              <w:left w:w="62" w:type="dxa"/>
              <w:bottom w:w="0" w:type="dxa"/>
              <w:right w:w="62" w:type="dxa"/>
            </w:tcMar>
          </w:tcPr>
          <w:p w:rsidR="00000000" w:rsidP="00D71EB8">
            <w:pPr>
              <w:pStyle w:val="BodyText"/>
              <w:rPr>
                <w:lang w:val="en-NZ"/>
              </w:rPr>
            </w:pPr>
            <w:r w:rsidRPr="00D71EB8">
              <w:t>Learning skills to:</w:t>
            </w:r>
          </w:p>
        </w:tc>
        <w:tc>
          <w:tcPr>
            <w:tcW w:w="6750" w:type="dxa"/>
            <w:tcBorders>
              <w:top w:val="nil"/>
              <w:left w:val="nil"/>
              <w:bottom w:val="nil"/>
              <w:right w:val="nil"/>
            </w:tcBorders>
            <w:tcMar>
              <w:top w:w="0" w:type="dxa"/>
              <w:left w:w="62" w:type="dxa"/>
              <w:bottom w:w="0" w:type="dxa"/>
              <w:right w:w="62" w:type="dxa"/>
            </w:tcMar>
          </w:tcPr>
          <w:p w:rsidR="00000000" w:rsidRPr="00D71EB8" w:rsidP="00D71EB8">
            <w:pPr>
              <w:pStyle w:val="ListBullet"/>
            </w:pPr>
            <w:r w:rsidRPr="00D71EB8">
              <w:t>transfer key principles and techniques of painting decorative effects when working with different sign designs.</w:t>
            </w:r>
          </w:p>
          <w:p w:rsidR="00000000" w:rsidP="00D71EB8">
            <w:pPr>
              <w:pStyle w:val="BodyText"/>
              <w:rPr>
                <w:lang w:val="en-NZ"/>
              </w:rPr>
            </w:pPr>
          </w:p>
        </w:tc>
      </w:tr>
      <w:tr w:rsidTr="00D71EB8">
        <w:tblPrEx>
          <w:tblW w:w="0" w:type="auto"/>
          <w:tblLayout w:type="fixed"/>
          <w:tblCellMar>
            <w:left w:w="62" w:type="dxa"/>
            <w:right w:w="62" w:type="dxa"/>
          </w:tblCellMar>
          <w:tblLook w:val="0000"/>
        </w:tblPrEx>
        <w:tc>
          <w:tcPr>
            <w:tcW w:w="2212" w:type="dxa"/>
            <w:tcBorders>
              <w:top w:val="nil"/>
              <w:left w:val="nil"/>
              <w:bottom w:val="nil"/>
              <w:right w:val="nil"/>
            </w:tcBorders>
            <w:tcMar>
              <w:top w:w="0" w:type="dxa"/>
              <w:left w:w="62" w:type="dxa"/>
              <w:bottom w:w="0" w:type="dxa"/>
              <w:right w:w="62" w:type="dxa"/>
            </w:tcMar>
          </w:tcPr>
          <w:p w:rsidR="00000000" w:rsidP="00D71EB8">
            <w:pPr>
              <w:pStyle w:val="BodyText"/>
              <w:rPr>
                <w:lang w:val="en-NZ"/>
              </w:rPr>
            </w:pPr>
            <w:r w:rsidRPr="00D71EB8">
              <w:t>Numeracy skills to:</w:t>
            </w:r>
          </w:p>
        </w:tc>
        <w:tc>
          <w:tcPr>
            <w:tcW w:w="6750" w:type="dxa"/>
            <w:tcBorders>
              <w:top w:val="nil"/>
              <w:left w:val="nil"/>
              <w:bottom w:val="nil"/>
              <w:right w:val="nil"/>
            </w:tcBorders>
            <w:tcMar>
              <w:top w:w="0" w:type="dxa"/>
              <w:left w:w="62" w:type="dxa"/>
              <w:bottom w:w="0" w:type="dxa"/>
              <w:right w:w="62" w:type="dxa"/>
            </w:tcMar>
          </w:tcPr>
          <w:p w:rsidR="00000000" w:rsidRPr="00D71EB8" w:rsidP="00D71EB8">
            <w:pPr>
              <w:pStyle w:val="ListBullet"/>
            </w:pPr>
            <w:r w:rsidRPr="00D71EB8">
              <w:t>measure surface and perform calculations to accurately identify required surface area for design</w:t>
            </w:r>
          </w:p>
          <w:p w:rsidR="00000000" w:rsidRPr="00D71EB8" w:rsidP="00D71EB8">
            <w:pPr>
              <w:pStyle w:val="ListBullet"/>
            </w:pPr>
            <w:r w:rsidRPr="00D71EB8">
              <w:t>calculate scale and dimensions of final sign from drawings and apply to layout processes for sign-writing.</w:t>
            </w:r>
          </w:p>
          <w:p w:rsidR="00000000" w:rsidP="00D71EB8">
            <w:pPr>
              <w:pStyle w:val="BodyText"/>
              <w:rPr>
                <w:lang w:val="en-NZ"/>
              </w:rPr>
            </w:pPr>
          </w:p>
        </w:tc>
      </w:tr>
      <w:tr w:rsidTr="00D71EB8">
        <w:tblPrEx>
          <w:tblW w:w="0" w:type="auto"/>
          <w:tblLayout w:type="fixed"/>
          <w:tblCellMar>
            <w:left w:w="62" w:type="dxa"/>
            <w:right w:w="62" w:type="dxa"/>
          </w:tblCellMar>
          <w:tblLook w:val="0000"/>
        </w:tblPrEx>
        <w:tc>
          <w:tcPr>
            <w:tcW w:w="2212" w:type="dxa"/>
            <w:tcBorders>
              <w:top w:val="nil"/>
              <w:left w:val="nil"/>
              <w:bottom w:val="nil"/>
              <w:right w:val="nil"/>
            </w:tcBorders>
            <w:tcMar>
              <w:top w:w="0" w:type="dxa"/>
              <w:left w:w="62" w:type="dxa"/>
              <w:bottom w:w="0" w:type="dxa"/>
              <w:right w:w="62" w:type="dxa"/>
            </w:tcMar>
          </w:tcPr>
          <w:p w:rsidR="00000000" w:rsidP="00D71EB8">
            <w:pPr>
              <w:pStyle w:val="BodyText"/>
              <w:rPr>
                <w:lang w:val="en-NZ"/>
              </w:rPr>
            </w:pPr>
            <w:r w:rsidRPr="00D71EB8">
              <w:t>Oral communication skills to:</w:t>
            </w:r>
          </w:p>
        </w:tc>
        <w:tc>
          <w:tcPr>
            <w:tcW w:w="6750" w:type="dxa"/>
            <w:tcBorders>
              <w:top w:val="nil"/>
              <w:left w:val="nil"/>
              <w:bottom w:val="nil"/>
              <w:right w:val="nil"/>
            </w:tcBorders>
            <w:tcMar>
              <w:top w:w="0" w:type="dxa"/>
              <w:left w:w="62" w:type="dxa"/>
              <w:bottom w:w="0" w:type="dxa"/>
              <w:right w:w="62" w:type="dxa"/>
            </w:tcMar>
          </w:tcPr>
          <w:p w:rsidR="00000000" w:rsidRPr="00D71EB8" w:rsidP="00D71EB8">
            <w:pPr>
              <w:pStyle w:val="ListBullet"/>
            </w:pPr>
            <w:r w:rsidRPr="00D71EB8">
              <w:t>enable clear and direct communication, using questioning to identify and confirm requirements, share information, li</w:t>
            </w:r>
            <w:r w:rsidRPr="00D71EB8">
              <w:t>sten and understand.</w:t>
            </w:r>
          </w:p>
          <w:p w:rsidR="00000000" w:rsidP="00D71EB8">
            <w:pPr>
              <w:pStyle w:val="BodyText"/>
              <w:rPr>
                <w:lang w:val="en-NZ"/>
              </w:rPr>
            </w:pPr>
          </w:p>
        </w:tc>
      </w:tr>
      <w:tr w:rsidTr="00D71EB8">
        <w:tblPrEx>
          <w:tblW w:w="0" w:type="auto"/>
          <w:tblLayout w:type="fixed"/>
          <w:tblCellMar>
            <w:left w:w="62" w:type="dxa"/>
            <w:right w:w="62" w:type="dxa"/>
          </w:tblCellMar>
          <w:tblLook w:val="0000"/>
        </w:tblPrEx>
        <w:tc>
          <w:tcPr>
            <w:tcW w:w="2212" w:type="dxa"/>
            <w:tcBorders>
              <w:top w:val="nil"/>
              <w:left w:val="nil"/>
              <w:bottom w:val="nil"/>
              <w:right w:val="nil"/>
            </w:tcBorders>
            <w:tcMar>
              <w:top w:w="0" w:type="dxa"/>
              <w:left w:w="62" w:type="dxa"/>
              <w:bottom w:w="0" w:type="dxa"/>
              <w:right w:w="62" w:type="dxa"/>
            </w:tcMar>
          </w:tcPr>
          <w:p w:rsidR="00000000" w:rsidP="00D71EB8">
            <w:pPr>
              <w:pStyle w:val="BodyText"/>
              <w:rPr>
                <w:lang w:val="en-NZ"/>
              </w:rPr>
            </w:pPr>
            <w:r w:rsidRPr="00D71EB8">
              <w:t>Reading skills to:</w:t>
            </w:r>
          </w:p>
        </w:tc>
        <w:tc>
          <w:tcPr>
            <w:tcW w:w="6750" w:type="dxa"/>
            <w:tcBorders>
              <w:top w:val="nil"/>
              <w:left w:val="nil"/>
              <w:bottom w:val="nil"/>
              <w:right w:val="nil"/>
            </w:tcBorders>
            <w:tcMar>
              <w:top w:w="0" w:type="dxa"/>
              <w:left w:w="62" w:type="dxa"/>
              <w:bottom w:w="0" w:type="dxa"/>
              <w:right w:w="62" w:type="dxa"/>
            </w:tcMar>
          </w:tcPr>
          <w:p w:rsidR="00000000" w:rsidRPr="00D71EB8" w:rsidP="00D71EB8">
            <w:pPr>
              <w:pStyle w:val="ListBullet"/>
            </w:pPr>
            <w:r w:rsidRPr="00D71EB8">
              <w:t>interpret a range of familiar workplace documentation, including hand drawings, manufacturer specifications and instructions.</w:t>
            </w:r>
          </w:p>
          <w:p w:rsidR="00000000" w:rsidP="00D71EB8">
            <w:pPr>
              <w:pStyle w:val="BodyText"/>
              <w:rPr>
                <w:lang w:val="en-NZ"/>
              </w:rPr>
            </w:pPr>
          </w:p>
        </w:tc>
      </w:tr>
      <w:tr w:rsidTr="00D71EB8">
        <w:tblPrEx>
          <w:tblW w:w="0" w:type="auto"/>
          <w:tblLayout w:type="fixed"/>
          <w:tblCellMar>
            <w:left w:w="62" w:type="dxa"/>
            <w:right w:w="62" w:type="dxa"/>
          </w:tblCellMar>
          <w:tblLook w:val="0000"/>
        </w:tblPrEx>
        <w:tc>
          <w:tcPr>
            <w:tcW w:w="2212" w:type="dxa"/>
            <w:tcBorders>
              <w:top w:val="nil"/>
              <w:left w:val="nil"/>
              <w:bottom w:val="nil"/>
              <w:right w:val="nil"/>
            </w:tcBorders>
            <w:tcMar>
              <w:top w:w="0" w:type="dxa"/>
              <w:left w:w="62" w:type="dxa"/>
              <w:bottom w:w="0" w:type="dxa"/>
              <w:right w:w="62" w:type="dxa"/>
            </w:tcMar>
          </w:tcPr>
          <w:p w:rsidR="00000000" w:rsidP="00D71EB8">
            <w:pPr>
              <w:pStyle w:val="BodyText"/>
              <w:rPr>
                <w:lang w:val="en-NZ"/>
              </w:rPr>
            </w:pPr>
            <w:r w:rsidRPr="00D71EB8">
              <w:t>Writing skills to:</w:t>
            </w:r>
          </w:p>
        </w:tc>
        <w:tc>
          <w:tcPr>
            <w:tcW w:w="6750" w:type="dxa"/>
            <w:tcBorders>
              <w:top w:val="nil"/>
              <w:left w:val="nil"/>
              <w:bottom w:val="nil"/>
              <w:right w:val="nil"/>
            </w:tcBorders>
            <w:tcMar>
              <w:top w:w="0" w:type="dxa"/>
              <w:left w:w="62" w:type="dxa"/>
              <w:bottom w:w="0" w:type="dxa"/>
              <w:right w:w="62" w:type="dxa"/>
            </w:tcMar>
          </w:tcPr>
          <w:p w:rsidR="00000000" w:rsidRPr="00D71EB8" w:rsidP="00D71EB8">
            <w:pPr>
              <w:pStyle w:val="ListBullet"/>
            </w:pPr>
            <w:r w:rsidRPr="00D71EB8">
              <w:t>report faults in tools and equipment to manufacturers and other relevant personnel.</w:t>
            </w:r>
          </w:p>
          <w:p w:rsidR="00000000" w:rsidRPr="00D71EB8" w:rsidP="00D71EB8">
            <w:pPr>
              <w:pStyle w:val="BodyText"/>
            </w:pPr>
          </w:p>
        </w:tc>
      </w:tr>
    </w:tbl>
    <w:p w:rsidR="00000000" w:rsidRPr="00D71EB8" w:rsidP="00D71EB8">
      <w:pPr>
        <w:pStyle w:val="BodyText"/>
      </w:pPr>
    </w:p>
    <w:p w:rsidR="00000000" w:rsidRPr="00D71EB8" w:rsidP="00D71EB8">
      <w:pPr>
        <w:pStyle w:val="AllowPageBreak"/>
      </w:pPr>
    </w:p>
    <w:p w:rsidR="00000000" w:rsidRPr="00D71EB8" w:rsidP="00D71EB8">
      <w:pPr>
        <w:pStyle w:val="Heading1"/>
      </w:pPr>
      <w:bookmarkStart w:id="8" w:name="O_832254"/>
      <w:bookmarkEnd w:id="8"/>
      <w:r w:rsidRPr="00D71EB8">
        <w:t>Range of Conditions</w:t>
      </w:r>
    </w:p>
    <w:tbl>
      <w:tblPr>
        <w:tblW w:w="0" w:type="auto"/>
        <w:tblLayout w:type="fixed"/>
        <w:tblCellMar>
          <w:left w:w="62" w:type="dxa"/>
          <w:right w:w="62" w:type="dxa"/>
        </w:tblCellMar>
        <w:tblLook w:val="0000"/>
      </w:tblPr>
      <w:tblGrid>
        <w:gridCol w:w="2239"/>
        <w:gridCol w:w="6723"/>
      </w:tblGrid>
      <w:tr w:rsidTr="00D71EB8">
        <w:tblPrEx>
          <w:tblW w:w="0" w:type="auto"/>
          <w:tblLayout w:type="fixed"/>
          <w:tblCellMar>
            <w:left w:w="62" w:type="dxa"/>
            <w:right w:w="62" w:type="dxa"/>
          </w:tblCellMar>
          <w:tblLook w:val="0000"/>
        </w:tblPrEx>
        <w:tc>
          <w:tcPr>
            <w:tcW w:w="8962" w:type="dxa"/>
            <w:gridSpan w:val="2"/>
            <w:tcBorders>
              <w:top w:val="nil"/>
              <w:left w:val="nil"/>
              <w:bottom w:val="nil"/>
              <w:right w:val="nil"/>
            </w:tcBorders>
            <w:tcMar>
              <w:top w:w="0" w:type="dxa"/>
              <w:left w:w="62" w:type="dxa"/>
              <w:bottom w:w="0" w:type="dxa"/>
              <w:right w:w="62" w:type="dxa"/>
            </w:tcMar>
          </w:tcPr>
          <w:p w:rsidR="00000000" w:rsidP="00D71EB8">
            <w:pPr>
              <w:pStyle w:val="BodyText"/>
              <w:rPr>
                <w:lang w:val="en-NZ"/>
              </w:rPr>
            </w:pPr>
            <w:r w:rsidRPr="00D71EB8">
              <w:t>This section specifies work environments and conditions that may affect performance. Essential operating conditions that may be pres</w:t>
            </w:r>
            <w:r w:rsidRPr="00D71EB8">
              <w:t>ent (depending on the work situation, needs of the candidate, accessibility of the item, and local industry and regional contexts) are included. Bold italicised wording, if used in the performance criteria, is detailed below.</w:t>
            </w:r>
          </w:p>
        </w:tc>
      </w:tr>
      <w:tr w:rsidTr="00D71EB8">
        <w:tblPrEx>
          <w:tblW w:w="0" w:type="auto"/>
          <w:tblLayout w:type="fixed"/>
          <w:tblCellMar>
            <w:left w:w="62" w:type="dxa"/>
            <w:right w:w="62" w:type="dxa"/>
          </w:tblCellMar>
          <w:tblLook w:val="0000"/>
        </w:tblPrEx>
        <w:tc>
          <w:tcPr>
            <w:tcW w:w="2239" w:type="dxa"/>
            <w:tcBorders>
              <w:top w:val="nil"/>
              <w:left w:val="nil"/>
              <w:bottom w:val="nil"/>
              <w:right w:val="nil"/>
            </w:tcBorders>
            <w:tcMar>
              <w:top w:w="0" w:type="dxa"/>
              <w:left w:w="62" w:type="dxa"/>
              <w:bottom w:w="0" w:type="dxa"/>
              <w:right w:w="62" w:type="dxa"/>
            </w:tcMar>
          </w:tcPr>
          <w:p w:rsidR="00000000" w:rsidP="00D71EB8">
            <w:pPr>
              <w:pStyle w:val="BodyText"/>
              <w:rPr>
                <w:lang w:val="en-NZ"/>
              </w:rPr>
            </w:pPr>
            <w:r w:rsidRPr="00D71EB8">
              <w:rPr>
                <w:rStyle w:val="BoldandItalics"/>
              </w:rPr>
              <w:t xml:space="preserve">Health and safety requirements </w:t>
            </w:r>
            <w:r w:rsidRPr="00D71EB8">
              <w:rPr>
                <w:rStyle w:val="SpecialBold"/>
              </w:rPr>
              <w:t xml:space="preserve">must </w:t>
            </w:r>
            <w:r w:rsidRPr="00D71EB8">
              <w:t>include:</w:t>
            </w:r>
          </w:p>
        </w:tc>
        <w:tc>
          <w:tcPr>
            <w:tcW w:w="6723" w:type="dxa"/>
            <w:tcBorders>
              <w:top w:val="nil"/>
              <w:left w:val="nil"/>
              <w:bottom w:val="nil"/>
              <w:right w:val="nil"/>
            </w:tcBorders>
            <w:tcMar>
              <w:top w:w="0" w:type="dxa"/>
              <w:left w:w="62" w:type="dxa"/>
              <w:bottom w:w="0" w:type="dxa"/>
              <w:right w:w="62" w:type="dxa"/>
            </w:tcMar>
          </w:tcPr>
          <w:p w:rsidR="00000000" w:rsidRPr="00D71EB8" w:rsidP="00D71EB8">
            <w:pPr>
              <w:pStyle w:val="ListBullet"/>
            </w:pPr>
            <w:r w:rsidRPr="00D71EB8">
              <w:t>selection, correct fitting, and use of PPE prescribed under legislation, regulations and workplace policies and practices</w:t>
            </w:r>
          </w:p>
          <w:p w:rsidR="00000000" w:rsidRPr="00D71EB8" w:rsidP="00D71EB8">
            <w:pPr>
              <w:pStyle w:val="ListBullet"/>
            </w:pPr>
            <w:r w:rsidRPr="00D71EB8">
              <w:t>emergency procedures, including:</w:t>
            </w:r>
          </w:p>
          <w:p w:rsidR="00000000" w:rsidRPr="00D71EB8" w:rsidP="00D71EB8">
            <w:pPr>
              <w:pStyle w:val="ListBullet2"/>
            </w:pPr>
            <w:r w:rsidRPr="00D71EB8">
              <w:t>evacuation</w:t>
            </w:r>
          </w:p>
          <w:p w:rsidR="00000000" w:rsidRPr="00D71EB8" w:rsidP="00D71EB8">
            <w:pPr>
              <w:pStyle w:val="ListBullet2"/>
            </w:pPr>
            <w:r w:rsidRPr="00D71EB8">
              <w:t>first aid</w:t>
            </w:r>
          </w:p>
          <w:p w:rsidR="00000000" w:rsidRPr="00D71EB8" w:rsidP="00D71EB8">
            <w:pPr>
              <w:pStyle w:val="ListBullet2"/>
            </w:pPr>
            <w:r w:rsidRPr="00D71EB8">
              <w:t xml:space="preserve">location and use of firefighting </w:t>
            </w:r>
            <w:r w:rsidRPr="00D71EB8">
              <w:t>equipment</w:t>
            </w:r>
          </w:p>
          <w:p w:rsidR="00000000" w:rsidRPr="00D71EB8" w:rsidP="00D71EB8">
            <w:pPr>
              <w:pStyle w:val="ListBullet"/>
            </w:pPr>
            <w:r w:rsidRPr="00D71EB8">
              <w:t>hazard identification and risk control procedures</w:t>
            </w:r>
          </w:p>
          <w:p w:rsidR="00000000" w:rsidRPr="00D71EB8" w:rsidP="00D71EB8">
            <w:pPr>
              <w:pStyle w:val="ListBullet"/>
            </w:pPr>
            <w:r w:rsidRPr="00D71EB8">
              <w:t>safe operating procedures, including the conduct of operational risk assessment and treatments associated with:</w:t>
            </w:r>
          </w:p>
          <w:p w:rsidR="00000000" w:rsidRPr="00D71EB8" w:rsidP="00D71EB8">
            <w:pPr>
              <w:pStyle w:val="ListBullet2"/>
            </w:pPr>
            <w:r w:rsidRPr="00D71EB8">
              <w:t>traffic control</w:t>
            </w:r>
          </w:p>
          <w:p w:rsidR="00000000" w:rsidRPr="00D71EB8" w:rsidP="00D71EB8">
            <w:pPr>
              <w:pStyle w:val="ListBullet2"/>
            </w:pPr>
            <w:r w:rsidRPr="00D71EB8">
              <w:t>work site visitors and the public</w:t>
            </w:r>
          </w:p>
          <w:p w:rsidR="00000000" w:rsidRPr="00D71EB8" w:rsidP="00D71EB8">
            <w:pPr>
              <w:pStyle w:val="ListBullet2"/>
            </w:pPr>
            <w:r w:rsidRPr="00D71EB8">
              <w:t>working at heights</w:t>
            </w:r>
          </w:p>
          <w:p w:rsidR="00000000" w:rsidRPr="00D71EB8" w:rsidP="00D71EB8">
            <w:pPr>
              <w:pStyle w:val="ListBullet2"/>
            </w:pPr>
            <w:r w:rsidRPr="00D71EB8">
              <w:t>working in confined spaces</w:t>
            </w:r>
          </w:p>
          <w:p w:rsidR="00000000" w:rsidRPr="00D71EB8" w:rsidP="00D71EB8">
            <w:pPr>
              <w:pStyle w:val="ListBullet2"/>
            </w:pPr>
            <w:r w:rsidRPr="00D71EB8">
              <w:t>working in proximity to others</w:t>
            </w:r>
          </w:p>
          <w:p w:rsidR="00000000" w:rsidRPr="00D71EB8" w:rsidP="00D71EB8">
            <w:pPr>
              <w:pStyle w:val="ListBullet2"/>
            </w:pPr>
            <w:r w:rsidRPr="00D71EB8">
              <w:t>use of machines</w:t>
            </w:r>
          </w:p>
          <w:p w:rsidR="00000000" w:rsidRPr="00D71EB8" w:rsidP="00D71EB8">
            <w:pPr>
              <w:pStyle w:val="ListBullet2"/>
            </w:pPr>
            <w:r w:rsidRPr="00D71EB8">
              <w:t>use of tools and equipment</w:t>
            </w:r>
          </w:p>
          <w:p w:rsidR="00000000" w:rsidRPr="00D71EB8" w:rsidP="00D71EB8">
            <w:pPr>
              <w:pStyle w:val="ListBullet"/>
            </w:pPr>
            <w:r w:rsidRPr="00D71EB8">
              <w:t>workplace environmental requirements.</w:t>
            </w:r>
          </w:p>
          <w:p w:rsidR="00000000" w:rsidP="00D71EB8">
            <w:pPr>
              <w:pStyle w:val="BodyText"/>
              <w:rPr>
                <w:lang w:val="en-NZ"/>
              </w:rPr>
            </w:pPr>
          </w:p>
        </w:tc>
      </w:tr>
      <w:tr w:rsidTr="00D71EB8">
        <w:tblPrEx>
          <w:tblW w:w="0" w:type="auto"/>
          <w:tblLayout w:type="fixed"/>
          <w:tblCellMar>
            <w:left w:w="62" w:type="dxa"/>
            <w:right w:w="62" w:type="dxa"/>
          </w:tblCellMar>
          <w:tblLook w:val="0000"/>
        </w:tblPrEx>
        <w:tc>
          <w:tcPr>
            <w:tcW w:w="2239" w:type="dxa"/>
            <w:tcBorders>
              <w:top w:val="nil"/>
              <w:left w:val="nil"/>
              <w:bottom w:val="nil"/>
              <w:right w:val="nil"/>
            </w:tcBorders>
            <w:tcMar>
              <w:top w:w="0" w:type="dxa"/>
              <w:left w:w="62" w:type="dxa"/>
              <w:bottom w:w="0" w:type="dxa"/>
              <w:right w:w="62" w:type="dxa"/>
            </w:tcMar>
          </w:tcPr>
          <w:p w:rsidR="00000000" w:rsidP="00D71EB8">
            <w:pPr>
              <w:pStyle w:val="BodyText"/>
              <w:rPr>
                <w:lang w:val="en-NZ"/>
              </w:rPr>
            </w:pPr>
            <w:r w:rsidRPr="00D71EB8">
              <w:rPr>
                <w:rStyle w:val="BoldandItalics"/>
              </w:rPr>
              <w:t>Tools and equipment</w:t>
            </w:r>
            <w:r w:rsidRPr="00D71EB8">
              <w:t xml:space="preserve"> include: </w:t>
            </w:r>
          </w:p>
        </w:tc>
        <w:tc>
          <w:tcPr>
            <w:tcW w:w="6723" w:type="dxa"/>
            <w:tcBorders>
              <w:top w:val="nil"/>
              <w:left w:val="nil"/>
              <w:bottom w:val="nil"/>
              <w:right w:val="nil"/>
            </w:tcBorders>
            <w:tcMar>
              <w:top w:w="0" w:type="dxa"/>
              <w:left w:w="62" w:type="dxa"/>
              <w:bottom w:w="0" w:type="dxa"/>
              <w:right w:w="62" w:type="dxa"/>
            </w:tcMar>
          </w:tcPr>
          <w:p w:rsidR="00000000" w:rsidRPr="00D71EB8" w:rsidP="00D71EB8">
            <w:pPr>
              <w:pStyle w:val="ListBullet"/>
            </w:pPr>
            <w:r w:rsidRPr="00D71EB8">
              <w:t>cutting knives</w:t>
            </w:r>
          </w:p>
          <w:p w:rsidR="00000000" w:rsidRPr="00D71EB8" w:rsidP="00D71EB8">
            <w:pPr>
              <w:pStyle w:val="ListBullet"/>
            </w:pPr>
            <w:r w:rsidRPr="00D71EB8">
              <w:t>mahl sticks</w:t>
            </w:r>
          </w:p>
          <w:p w:rsidR="00000000" w:rsidRPr="00D71EB8" w:rsidP="00D71EB8">
            <w:pPr>
              <w:pStyle w:val="ListBullet"/>
            </w:pPr>
            <w:r w:rsidRPr="00D71EB8">
              <w:t xml:space="preserve">oils appropriate to the application </w:t>
            </w:r>
          </w:p>
          <w:p w:rsidR="00000000" w:rsidRPr="00D71EB8" w:rsidP="00D71EB8">
            <w:pPr>
              <w:pStyle w:val="ListBullet"/>
            </w:pPr>
            <w:r w:rsidRPr="00D71EB8">
              <w:t>paint pots</w:t>
            </w:r>
          </w:p>
          <w:p w:rsidR="00000000" w:rsidRPr="00D71EB8" w:rsidP="00D71EB8">
            <w:pPr>
              <w:pStyle w:val="ListBullet"/>
            </w:pPr>
            <w:r w:rsidRPr="00D71EB8">
              <w:t>sign-writing pencils, pens and brushes</w:t>
            </w:r>
          </w:p>
          <w:p w:rsidR="00000000" w:rsidRPr="00D71EB8" w:rsidP="00D71EB8">
            <w:pPr>
              <w:pStyle w:val="ListBullet"/>
            </w:pPr>
            <w:r w:rsidRPr="00D71EB8">
              <w:t>stirring sticks</w:t>
            </w:r>
          </w:p>
          <w:p w:rsidR="00000000" w:rsidRPr="00D71EB8" w:rsidP="00D71EB8">
            <w:pPr>
              <w:pStyle w:val="ListBullet"/>
            </w:pPr>
            <w:r w:rsidRPr="00D71EB8">
              <w:t>tape measures and rulers</w:t>
            </w:r>
          </w:p>
          <w:p w:rsidR="00000000" w:rsidRPr="00D71EB8" w:rsidP="00D71EB8">
            <w:pPr>
              <w:pStyle w:val="ListBullet"/>
            </w:pPr>
            <w:r w:rsidRPr="00D71EB8">
              <w:t>tapes.</w:t>
            </w:r>
          </w:p>
          <w:p w:rsidR="00000000" w:rsidP="00D71EB8">
            <w:pPr>
              <w:pStyle w:val="BodyText"/>
              <w:rPr>
                <w:lang w:val="en-NZ"/>
              </w:rPr>
            </w:pPr>
          </w:p>
        </w:tc>
      </w:tr>
      <w:tr w:rsidTr="00D71EB8">
        <w:tblPrEx>
          <w:tblW w:w="0" w:type="auto"/>
          <w:tblLayout w:type="fixed"/>
          <w:tblCellMar>
            <w:left w:w="62" w:type="dxa"/>
            <w:right w:w="62" w:type="dxa"/>
          </w:tblCellMar>
          <w:tblLook w:val="0000"/>
        </w:tblPrEx>
        <w:tc>
          <w:tcPr>
            <w:tcW w:w="2239" w:type="dxa"/>
            <w:tcBorders>
              <w:top w:val="nil"/>
              <w:left w:val="nil"/>
              <w:bottom w:val="nil"/>
              <w:right w:val="nil"/>
            </w:tcBorders>
            <w:tcMar>
              <w:top w:w="0" w:type="dxa"/>
              <w:left w:w="62" w:type="dxa"/>
              <w:bottom w:w="0" w:type="dxa"/>
              <w:right w:w="62" w:type="dxa"/>
            </w:tcMar>
          </w:tcPr>
          <w:p w:rsidR="00000000" w:rsidP="00D71EB8">
            <w:pPr>
              <w:pStyle w:val="BodyText"/>
              <w:rPr>
                <w:lang w:val="en-NZ"/>
              </w:rPr>
            </w:pPr>
            <w:r w:rsidRPr="00D71EB8">
              <w:rPr>
                <w:rStyle w:val="BoldandItalics"/>
              </w:rPr>
              <w:t xml:space="preserve">Decorative effects </w:t>
            </w:r>
            <w:r w:rsidRPr="00D71EB8">
              <w:t>must include:</w:t>
            </w:r>
          </w:p>
        </w:tc>
        <w:tc>
          <w:tcPr>
            <w:tcW w:w="6723" w:type="dxa"/>
            <w:tcBorders>
              <w:top w:val="nil"/>
              <w:left w:val="nil"/>
              <w:bottom w:val="nil"/>
              <w:right w:val="nil"/>
            </w:tcBorders>
            <w:tcMar>
              <w:top w:w="0" w:type="dxa"/>
              <w:left w:w="62" w:type="dxa"/>
              <w:bottom w:w="0" w:type="dxa"/>
              <w:right w:w="62" w:type="dxa"/>
            </w:tcMar>
          </w:tcPr>
          <w:p w:rsidR="00000000" w:rsidRPr="00D71EB8" w:rsidP="00D71EB8">
            <w:pPr>
              <w:pStyle w:val="ListBullet"/>
            </w:pPr>
            <w:r w:rsidRPr="00D71EB8">
              <w:t>three dimensional (3-D)</w:t>
            </w:r>
          </w:p>
          <w:p w:rsidR="00000000" w:rsidRPr="00D71EB8" w:rsidP="00D71EB8">
            <w:pPr>
              <w:pStyle w:val="ListBullet"/>
            </w:pPr>
            <w:r w:rsidRPr="00D71EB8">
              <w:t>colour effects</w:t>
            </w:r>
          </w:p>
          <w:p w:rsidR="00000000" w:rsidRPr="00D71EB8" w:rsidP="00D71EB8">
            <w:pPr>
              <w:pStyle w:val="ListBullet"/>
            </w:pPr>
            <w:r w:rsidRPr="00D71EB8">
              <w:t>shading.</w:t>
            </w:r>
          </w:p>
          <w:p w:rsidR="00000000" w:rsidRPr="00D71EB8" w:rsidP="00D71EB8">
            <w:pPr>
              <w:pStyle w:val="BodyText"/>
            </w:pPr>
          </w:p>
        </w:tc>
      </w:tr>
    </w:tbl>
    <w:p w:rsidR="00000000" w:rsidRPr="00D71EB8" w:rsidP="00D71EB8">
      <w:pPr>
        <w:pStyle w:val="BodyText"/>
      </w:pPr>
    </w:p>
    <w:p w:rsidR="00000000" w:rsidRPr="00D71EB8" w:rsidP="00D71EB8">
      <w:pPr>
        <w:pStyle w:val="AllowPageBreak"/>
      </w:pPr>
    </w:p>
    <w:p w:rsidR="00000000" w:rsidRPr="00D71EB8" w:rsidP="00D71EB8">
      <w:pPr>
        <w:pStyle w:val="Heading1"/>
      </w:pPr>
      <w:bookmarkStart w:id="9" w:name="O_832253"/>
      <w:bookmarkEnd w:id="9"/>
      <w:r w:rsidRPr="00D71EB8">
        <w:t>Unit Mapping Information</w:t>
      </w:r>
    </w:p>
    <w:p w:rsidR="00000000" w:rsidRPr="00D71EB8" w:rsidP="00D735D7">
      <w:pPr>
        <w:pStyle w:val="Heading3"/>
      </w:pPr>
      <w:r w:rsidRPr="00D71EB8">
        <w:t>CPCCSI2006A Signwrite to simple forms</w:t>
      </w:r>
    </w:p>
    <w:p w:rsidR="00000000" w:rsidRPr="00D71EB8" w:rsidP="00D735D7">
      <w:pPr>
        <w:pStyle w:val="BodyText"/>
      </w:pPr>
      <w:r w:rsidRPr="00D71EB8">
        <w:t>CPCCSI3003A Signwrite to decorative forms</w:t>
      </w:r>
    </w:p>
    <w:p w:rsidR="00000000" w:rsidRPr="00D71EB8" w:rsidP="00D71EB8">
      <w:pPr>
        <w:pStyle w:val="Heading1"/>
      </w:pPr>
      <w:bookmarkStart w:id="10" w:name="O_832246"/>
      <w:bookmarkEnd w:id="10"/>
      <w:r w:rsidRPr="00D71EB8">
        <w:t>Links</w:t>
      </w:r>
    </w:p>
    <w:p w:rsidR="00000000" w:rsidRPr="00D71EB8" w:rsidP="00D735D7">
      <w:pPr>
        <w:pStyle w:val="BodyText"/>
      </w:pPr>
      <w:r w:rsidRPr="00D71EB8">
        <w:t xml:space="preserve">Companion Volume implementation guides are found in VETNet - </w:t>
      </w:r>
      <w:r>
        <w:fldChar w:fldCharType="begin"/>
      </w:r>
      <w:r>
        <w:instrText xml:space="preserve"> HYPERLINK "https://vetnet.gov.au/Pages/TrainingDocs.aspx?q=7e15fa6a-68b8-4097-b099-030a5569b1ad" </w:instrText>
      </w:r>
      <w:r>
        <w:fldChar w:fldCharType="separate"/>
      </w:r>
      <w:r w:rsidRPr="00286878">
        <w:rPr>
          <w:rStyle w:val="Hyperlink"/>
        </w:rPr>
        <w:t>https://vetnet.gov.au/Pages/TrainingDocs.aspx?q=7e15fa6a-68b8-4097-b099-030a5569b1ad</w:t>
      </w:r>
      <w:r>
        <w:fldChar w:fldCharType="end"/>
      </w:r>
    </w:p>
    <w:p w:rsidR="00000000" w:rsidRPr="00D71EB8" w:rsidP="00D71EB8"/>
    <w:sectPr w:rsidSect="00D71EB8">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71EB8">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71EB8" w:rsidRPr="00D735D7" w:rsidP="00D735D7">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71EB8">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735D7" w:rsidP="00D71EB8">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D735D7" w:rsidP="00D71EB8">
    <w:pPr>
      <w:pStyle w:val="Footer"/>
      <w:framePr w:wrap="around"/>
    </w:pPr>
    <w:r>
      <w:t xml:space="preserve">© Commonwealth of Australia, </w:t>
    </w:r>
    <w:r>
      <w:fldChar w:fldCharType="begin"/>
    </w:r>
    <w:r>
      <w:instrText xml:space="preserve"> DATE  \@ "yyyy"  \* MERGEFORMAT </w:instrText>
    </w:r>
    <w:r>
      <w:fldChar w:fldCharType="separate"/>
    </w:r>
    <w:r>
      <w:rPr>
        <w:noProof/>
      </w:rPr>
      <w:t>2024</w:t>
    </w:r>
    <w:r>
      <w:fldChar w:fldCharType="end"/>
    </w:r>
    <w:r>
      <w:tab/>
    </w:r>
    <w:r>
      <w:fldChar w:fldCharType="begin"/>
    </w:r>
    <w:r>
      <w:instrText xml:space="preserve"> DOCPROPERTY  Author  \* MERGEFORMAT </w:instrText>
    </w:r>
    <w:r>
      <w:fldChar w:fldCharType="separate"/>
    </w:r>
    <w:r>
      <w:t>BuildSkills Australia</w:t>
    </w:r>
    <w:r>
      <w:fldChar w:fldCharType="end"/>
    </w:r>
  </w:p>
  <w:p w:rsidR="00D735D7" w:rsidP="00D71EB8">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71EB8">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735D7"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D71EB8" w:rsidRPr="00D735D7" w:rsidP="00D735D7">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71EB8">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735D7" w:rsidRPr="002D2AF8" w:rsidP="00D71EB8">
    <w:pPr>
      <w:pStyle w:val="Header"/>
      <w:framePr w:wrap="around"/>
    </w:pPr>
    <w:r>
      <w:fldChar w:fldCharType="begin"/>
    </w:r>
    <w:r>
      <w:instrText xml:space="preserve"> TITLE   \* MERGEFORMAT </w:instrText>
    </w:r>
    <w:r>
      <w:fldChar w:fldCharType="separate"/>
    </w:r>
    <w:r>
      <w:t>CPCCSG3013 Paint letters and decorative effects for signs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24 December 2024</w:t>
    </w:r>
    <w:r>
      <w:fldChar w:fldCharType="end"/>
    </w:r>
  </w:p>
  <w:p w:rsidR="00D735D7" w:rsidP="00D71EB8">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037E485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99BAF57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D7CAF3F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71EB8"/>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D71EB8"/>
    <w:pPr>
      <w:spacing w:before="360" w:after="60"/>
      <w:outlineLvl w:val="0"/>
    </w:pPr>
    <w:rPr>
      <w:sz w:val="32"/>
    </w:rPr>
  </w:style>
  <w:style w:type="paragraph" w:styleId="Heading2">
    <w:name w:val="heading 2"/>
    <w:basedOn w:val="HeadingBase"/>
    <w:next w:val="BodyText"/>
    <w:link w:val="Heading2Char"/>
    <w:qFormat/>
    <w:rsid w:val="00D71EB8"/>
    <w:pPr>
      <w:keepLines/>
      <w:spacing w:before="240" w:after="120"/>
      <w:outlineLvl w:val="1"/>
    </w:pPr>
    <w:rPr>
      <w:sz w:val="28"/>
      <w:szCs w:val="40"/>
    </w:rPr>
  </w:style>
  <w:style w:type="paragraph" w:styleId="Heading3">
    <w:name w:val="heading 3"/>
    <w:basedOn w:val="HeadingBase"/>
    <w:next w:val="BodyText"/>
    <w:link w:val="Heading3Char"/>
    <w:qFormat/>
    <w:rsid w:val="00D71EB8"/>
    <w:pPr>
      <w:spacing w:before="180" w:after="120"/>
      <w:outlineLvl w:val="2"/>
    </w:pPr>
    <w:rPr>
      <w:spacing w:val="-10"/>
      <w:kern w:val="32"/>
    </w:rPr>
  </w:style>
  <w:style w:type="paragraph" w:styleId="Heading4">
    <w:name w:val="heading 4"/>
    <w:basedOn w:val="HeadingBase"/>
    <w:next w:val="BodyText"/>
    <w:link w:val="Heading4Char"/>
    <w:qFormat/>
    <w:rsid w:val="00D71EB8"/>
    <w:pPr>
      <w:spacing w:before="160" w:after="120"/>
      <w:outlineLvl w:val="3"/>
    </w:pPr>
    <w:rPr>
      <w:sz w:val="22"/>
    </w:rPr>
  </w:style>
  <w:style w:type="paragraph" w:styleId="Heading5">
    <w:name w:val="heading 5"/>
    <w:basedOn w:val="HeadingBase"/>
    <w:next w:val="Normal"/>
    <w:link w:val="Heading5Char"/>
    <w:qFormat/>
    <w:rsid w:val="00D71EB8"/>
    <w:pPr>
      <w:spacing w:before="80"/>
      <w:outlineLvl w:val="4"/>
    </w:pPr>
    <w:rPr>
      <w:color w:val="918585"/>
      <w:sz w:val="20"/>
    </w:rPr>
  </w:style>
  <w:style w:type="paragraph" w:styleId="Heading6">
    <w:name w:val="heading 6"/>
    <w:basedOn w:val="HeadingBase"/>
    <w:next w:val="Normal"/>
    <w:link w:val="Heading6Char"/>
    <w:qFormat/>
    <w:rsid w:val="00D71EB8"/>
    <w:pPr>
      <w:spacing w:before="60"/>
      <w:outlineLvl w:val="5"/>
    </w:pPr>
    <w:rPr>
      <w:color w:val="918585"/>
      <w:sz w:val="20"/>
    </w:rPr>
  </w:style>
  <w:style w:type="paragraph" w:styleId="Heading7">
    <w:name w:val="heading 7"/>
    <w:basedOn w:val="Normal"/>
    <w:next w:val="Normal"/>
    <w:link w:val="Heading7Char"/>
    <w:qFormat/>
    <w:rsid w:val="00D71EB8"/>
    <w:pPr>
      <w:ind w:left="720"/>
      <w:outlineLvl w:val="6"/>
    </w:pPr>
    <w:rPr>
      <w:i/>
    </w:rPr>
  </w:style>
  <w:style w:type="paragraph" w:styleId="Heading8">
    <w:name w:val="heading 8"/>
    <w:basedOn w:val="Normal"/>
    <w:next w:val="Normal"/>
    <w:link w:val="Heading8Char"/>
    <w:qFormat/>
    <w:rsid w:val="00D71EB8"/>
    <w:pPr>
      <w:ind w:left="720"/>
      <w:outlineLvl w:val="7"/>
    </w:pPr>
    <w:rPr>
      <w:i/>
    </w:rPr>
  </w:style>
  <w:style w:type="paragraph" w:styleId="Heading9">
    <w:name w:val="heading 9"/>
    <w:basedOn w:val="Normal"/>
    <w:next w:val="Normal"/>
    <w:link w:val="Heading9Char"/>
    <w:qFormat/>
    <w:rsid w:val="00D71EB8"/>
    <w:pPr>
      <w:ind w:left="720"/>
      <w:outlineLvl w:val="8"/>
    </w:pPr>
    <w:rPr>
      <w:i/>
    </w:rPr>
  </w:style>
  <w:style w:type="character" w:default="1" w:styleId="DefaultParagraphFont">
    <w:name w:val="Default Paragraph Font"/>
    <w:uiPriority w:val="1"/>
    <w:unhideWhenUsed/>
    <w:rsid w:val="00D71EB8"/>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D71EB8"/>
  </w:style>
  <w:style w:type="character" w:customStyle="1" w:styleId="Heading1Char">
    <w:name w:val="Heading 1 Char"/>
    <w:basedOn w:val="DefaultParagraphFont"/>
    <w:link w:val="Heading1"/>
    <w:rsid w:val="00D71EB8"/>
    <w:rPr>
      <w:rFonts w:ascii="Times New Roman" w:eastAsia="Times New Roman" w:hAnsi="Times New Roman" w:cs="Times New Roman"/>
      <w:b/>
      <w:sz w:val="32"/>
      <w:szCs w:val="20"/>
      <w:lang w:eastAsia="en-US"/>
    </w:rPr>
  </w:style>
  <w:style w:type="paragraph" w:styleId="BodyText">
    <w:name w:val="Body Text"/>
    <w:basedOn w:val="Normal"/>
    <w:link w:val="BodyTextChar"/>
    <w:rsid w:val="00D71EB8"/>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D71EB8"/>
    <w:rPr>
      <w:rFonts w:ascii="Times New Roman" w:eastAsia="Times New Roman" w:hAnsi="Times New Roman" w:cs="Times New Roman"/>
      <w:sz w:val="24"/>
      <w:lang w:eastAsia="en-US"/>
    </w:rPr>
  </w:style>
  <w:style w:type="paragraph" w:styleId="ListBullet">
    <w:name w:val="List Bullet"/>
    <w:basedOn w:val="List"/>
    <w:rsid w:val="00D71EB8"/>
    <w:pPr>
      <w:numPr>
        <w:numId w:val="12"/>
      </w:numPr>
      <w:tabs>
        <w:tab w:val="clear" w:pos="340"/>
      </w:tabs>
      <w:spacing w:before="40" w:after="40"/>
    </w:pPr>
  </w:style>
  <w:style w:type="character" w:customStyle="1" w:styleId="SpecialBold">
    <w:name w:val="Special Bold"/>
    <w:basedOn w:val="DefaultParagraphFont"/>
    <w:rsid w:val="00D71EB8"/>
    <w:rPr>
      <w:b/>
      <w:spacing w:val="0"/>
    </w:rPr>
  </w:style>
  <w:style w:type="paragraph" w:styleId="ListBullet2">
    <w:name w:val="List Bullet 2"/>
    <w:basedOn w:val="List2"/>
    <w:rsid w:val="00D71EB8"/>
    <w:pPr>
      <w:numPr>
        <w:numId w:val="13"/>
      </w:numPr>
      <w:tabs>
        <w:tab w:val="clear" w:pos="680"/>
      </w:tabs>
    </w:pPr>
  </w:style>
  <w:style w:type="paragraph" w:customStyle="1" w:styleId="SuperHeading">
    <w:name w:val="SuperHeading"/>
    <w:basedOn w:val="Normal"/>
    <w:rsid w:val="00D71EB8"/>
    <w:pPr>
      <w:spacing w:before="240" w:after="120"/>
      <w:outlineLvl w:val="0"/>
    </w:pPr>
    <w:rPr>
      <w:rFonts w:ascii="Times New Roman" w:hAnsi="Times New Roman"/>
      <w:b/>
      <w:sz w:val="32"/>
    </w:rPr>
  </w:style>
  <w:style w:type="paragraph" w:customStyle="1" w:styleId="AllowPageBreak">
    <w:name w:val="AllowPageBreak"/>
    <w:rsid w:val="00D71EB8"/>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D71EB8"/>
    <w:rPr>
      <w:b/>
      <w:i/>
      <w:u w:val="none"/>
    </w:rPr>
  </w:style>
  <w:style w:type="character" w:customStyle="1" w:styleId="Heading2Char">
    <w:name w:val="Heading 2 Char"/>
    <w:basedOn w:val="DefaultParagraphFont"/>
    <w:link w:val="Heading2"/>
    <w:rsid w:val="00D71EB8"/>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D71EB8"/>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D71EB8"/>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D71EB8"/>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D71EB8"/>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D71EB8"/>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D71EB8"/>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D71EB8"/>
    <w:rPr>
      <w:rFonts w:ascii="Courier New" w:eastAsia="Times New Roman" w:hAnsi="Courier New" w:cs="Times New Roman"/>
      <w:i/>
      <w:szCs w:val="20"/>
      <w:lang w:eastAsia="en-US"/>
    </w:rPr>
  </w:style>
  <w:style w:type="paragraph" w:customStyle="1" w:styleId="HeadingBase">
    <w:name w:val="Heading Base"/>
    <w:rsid w:val="00D71EB8"/>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D71EB8"/>
    <w:pPr>
      <w:tabs>
        <w:tab w:val="right" w:leader="dot" w:pos="9072"/>
      </w:tabs>
      <w:ind w:left="567"/>
    </w:pPr>
    <w:rPr>
      <w:szCs w:val="22"/>
    </w:rPr>
  </w:style>
  <w:style w:type="paragraph" w:customStyle="1" w:styleId="TOCBase">
    <w:name w:val="TOC Base"/>
    <w:rsid w:val="00D71EB8"/>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D71EB8"/>
    <w:pPr>
      <w:tabs>
        <w:tab w:val="right" w:leader="dot" w:pos="9072"/>
      </w:tabs>
      <w:spacing w:before="40" w:after="40"/>
      <w:ind w:left="284"/>
    </w:pPr>
    <w:rPr>
      <w:rFonts w:ascii="Times New Roman" w:hAnsi="Times New Roman"/>
    </w:rPr>
  </w:style>
  <w:style w:type="paragraph" w:styleId="TOC1">
    <w:name w:val="toc 1"/>
    <w:basedOn w:val="TOCBase"/>
    <w:next w:val="Normal"/>
    <w:rsid w:val="00D71EB8"/>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D71EB8"/>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D71EB8"/>
    <w:rPr>
      <w:rFonts w:ascii="Times New Roman" w:eastAsia="Times New Roman" w:hAnsi="Times New Roman" w:cs="Times New Roman"/>
      <w:sz w:val="16"/>
      <w:lang w:eastAsia="en-US"/>
    </w:rPr>
  </w:style>
  <w:style w:type="paragraph" w:styleId="Title">
    <w:name w:val="Title"/>
    <w:basedOn w:val="HeadingBase"/>
    <w:link w:val="TitleChar"/>
    <w:qFormat/>
    <w:rsid w:val="00D71EB8"/>
    <w:pPr>
      <w:spacing w:before="5040"/>
      <w:jc w:val="center"/>
    </w:pPr>
    <w:rPr>
      <w:sz w:val="48"/>
      <w:szCs w:val="72"/>
      <w:lang w:val="en-US"/>
    </w:rPr>
  </w:style>
  <w:style w:type="character" w:customStyle="1" w:styleId="TitleChar">
    <w:name w:val="Title Char"/>
    <w:basedOn w:val="DefaultParagraphFont"/>
    <w:link w:val="Title"/>
    <w:rsid w:val="00D71EB8"/>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D71EB8"/>
    <w:pPr>
      <w:tabs>
        <w:tab w:val="left" w:pos="3600"/>
        <w:tab w:val="left" w:pos="3958"/>
      </w:tabs>
    </w:pPr>
  </w:style>
  <w:style w:type="paragraph" w:styleId="List">
    <w:name w:val="List"/>
    <w:basedOn w:val="BodyText"/>
    <w:next w:val="BodyText"/>
    <w:rsid w:val="00D71EB8"/>
    <w:pPr>
      <w:tabs>
        <w:tab w:val="left" w:pos="340"/>
      </w:tabs>
      <w:spacing w:before="60" w:after="60"/>
      <w:ind w:left="340" w:hanging="340"/>
    </w:pPr>
  </w:style>
  <w:style w:type="paragraph" w:customStyle="1" w:styleId="Note">
    <w:name w:val="Note"/>
    <w:basedOn w:val="BodyText"/>
    <w:rsid w:val="00D71EB8"/>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D71EB8"/>
    <w:pPr>
      <w:framePr w:wrap="auto" w:hAnchor="text" w:y="6049"/>
    </w:pPr>
    <w:rPr>
      <w:color w:val="000000"/>
      <w:sz w:val="40"/>
    </w:rPr>
  </w:style>
  <w:style w:type="paragraph" w:customStyle="1" w:styleId="TOCTitle">
    <w:name w:val="TOCTitle"/>
    <w:basedOn w:val="Heading1"/>
    <w:rsid w:val="00D71EB8"/>
    <w:pPr>
      <w:spacing w:after="240"/>
      <w:jc w:val="center"/>
      <w:outlineLvl w:val="9"/>
    </w:pPr>
    <w:rPr>
      <w:caps/>
    </w:rPr>
  </w:style>
  <w:style w:type="paragraph" w:customStyle="1" w:styleId="Version">
    <w:name w:val="Version"/>
    <w:rsid w:val="00D71EB8"/>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D71EB8"/>
    <w:pPr>
      <w:keepNext w:val="0"/>
      <w:tabs>
        <w:tab w:val="right" w:pos="4176"/>
      </w:tabs>
      <w:ind w:left="198" w:hanging="198"/>
    </w:pPr>
    <w:rPr>
      <w:rFonts w:ascii="Garamond" w:hAnsi="Garamond"/>
    </w:rPr>
  </w:style>
  <w:style w:type="paragraph" w:styleId="IndexHeading">
    <w:name w:val="index heading"/>
    <w:basedOn w:val="Normal"/>
    <w:next w:val="Index1"/>
    <w:semiHidden/>
    <w:rsid w:val="00D71EB8"/>
    <w:pPr>
      <w:spacing w:before="120" w:after="120"/>
    </w:pPr>
    <w:rPr>
      <w:rFonts w:ascii="Arial" w:hAnsi="Arial"/>
      <w:b/>
      <w:color w:val="918585"/>
      <w:sz w:val="24"/>
    </w:rPr>
  </w:style>
  <w:style w:type="paragraph" w:styleId="Header">
    <w:name w:val="header"/>
    <w:basedOn w:val="Normal"/>
    <w:link w:val="HeaderChar"/>
    <w:rsid w:val="00D71EB8"/>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D71EB8"/>
    <w:rPr>
      <w:rFonts w:ascii="Times New Roman" w:eastAsia="Times New Roman" w:hAnsi="Times New Roman" w:cs="Times New Roman"/>
      <w:sz w:val="16"/>
      <w:szCs w:val="20"/>
      <w:lang w:val="en-GB" w:eastAsia="en-US"/>
    </w:rPr>
  </w:style>
  <w:style w:type="paragraph" w:customStyle="1" w:styleId="Chapter">
    <w:name w:val="Chapter"/>
    <w:basedOn w:val="Normal"/>
    <w:rsid w:val="00D71EB8"/>
    <w:pPr>
      <w:spacing w:before="240"/>
    </w:pPr>
    <w:rPr>
      <w:rFonts w:ascii="Times New Roman" w:hAnsi="Times New Roman"/>
      <w:smallCaps/>
      <w:spacing w:val="80"/>
      <w:sz w:val="28"/>
    </w:rPr>
  </w:style>
  <w:style w:type="paragraph" w:customStyle="1" w:styleId="InChapter">
    <w:name w:val="InChapter"/>
    <w:basedOn w:val="Heading3"/>
    <w:rsid w:val="00D71EB8"/>
    <w:pPr>
      <w:spacing w:after="240"/>
      <w:outlineLvl w:val="9"/>
    </w:pPr>
    <w:rPr>
      <w:noProof/>
    </w:rPr>
  </w:style>
  <w:style w:type="paragraph" w:styleId="Index2">
    <w:name w:val="index 2"/>
    <w:basedOn w:val="Normal"/>
    <w:next w:val="Normal"/>
    <w:semiHidden/>
    <w:rsid w:val="00D71EB8"/>
    <w:pPr>
      <w:tabs>
        <w:tab w:val="right" w:pos="4176"/>
      </w:tabs>
      <w:ind w:left="568" w:hanging="284"/>
    </w:pPr>
    <w:rPr>
      <w:rFonts w:ascii="Garamond" w:hAnsi="Garamond"/>
    </w:rPr>
  </w:style>
  <w:style w:type="paragraph" w:customStyle="1" w:styleId="Byline">
    <w:name w:val="Byline"/>
    <w:rsid w:val="00D71EB8"/>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D71EB8"/>
    <w:pPr>
      <w:tabs>
        <w:tab w:val="clear" w:pos="3600"/>
        <w:tab w:val="clear" w:pos="3958"/>
      </w:tabs>
      <w:jc w:val="right"/>
    </w:pPr>
  </w:style>
  <w:style w:type="character" w:styleId="Emphasis">
    <w:name w:val="Emphasis"/>
    <w:basedOn w:val="DefaultParagraphFont"/>
    <w:qFormat/>
    <w:rsid w:val="00D71EB8"/>
    <w:rPr>
      <w:i/>
    </w:rPr>
  </w:style>
  <w:style w:type="paragraph" w:styleId="Caption">
    <w:name w:val="caption"/>
    <w:basedOn w:val="BodyText"/>
    <w:next w:val="Normal"/>
    <w:qFormat/>
    <w:rsid w:val="00D71EB8"/>
    <w:pPr>
      <w:framePr w:w="2268" w:hSpace="181" w:vSpace="181" w:wrap="around" w:vAnchor="text" w:hAnchor="page" w:x="1135" w:y="285" w:anchorLock="1"/>
    </w:pPr>
    <w:rPr>
      <w:i/>
    </w:rPr>
  </w:style>
  <w:style w:type="paragraph" w:customStyle="1" w:styleId="MiniTOCTitle">
    <w:name w:val="MiniTOCTitle"/>
    <w:basedOn w:val="Heading4"/>
    <w:rsid w:val="00D71EB8"/>
    <w:pPr>
      <w:spacing w:before="240"/>
      <w:outlineLvl w:val="9"/>
    </w:pPr>
    <w:rPr>
      <w:noProof/>
      <w:sz w:val="24"/>
    </w:rPr>
  </w:style>
  <w:style w:type="paragraph" w:customStyle="1" w:styleId="MiniTOCItem">
    <w:name w:val="MiniTOCItem"/>
    <w:basedOn w:val="ListBullet"/>
    <w:rsid w:val="00D71EB8"/>
    <w:pPr>
      <w:numPr>
        <w:numId w:val="0"/>
      </w:numPr>
      <w:tabs>
        <w:tab w:val="right" w:leader="dot" w:pos="6521"/>
      </w:tabs>
      <w:spacing w:before="0" w:after="0"/>
    </w:pPr>
  </w:style>
  <w:style w:type="paragraph" w:customStyle="1" w:styleId="TOFTitle">
    <w:name w:val="TOFTitle"/>
    <w:basedOn w:val="TOCTitle"/>
    <w:rsid w:val="00D71EB8"/>
  </w:style>
  <w:style w:type="paragraph" w:styleId="TableofFigures">
    <w:name w:val="table of figures"/>
    <w:basedOn w:val="Normal"/>
    <w:next w:val="Normal"/>
    <w:semiHidden/>
    <w:rsid w:val="00D71EB8"/>
    <w:pPr>
      <w:tabs>
        <w:tab w:val="right" w:leader="dot" w:pos="9072"/>
      </w:tabs>
      <w:ind w:left="970" w:hanging="403"/>
    </w:pPr>
    <w:rPr>
      <w:rFonts w:ascii="Times New Roman" w:hAnsi="Times New Roman"/>
      <w:b/>
    </w:rPr>
  </w:style>
  <w:style w:type="paragraph" w:styleId="ListNumber">
    <w:name w:val="List Number"/>
    <w:basedOn w:val="List"/>
    <w:rsid w:val="00D71EB8"/>
    <w:pPr>
      <w:numPr>
        <w:numId w:val="15"/>
      </w:numPr>
      <w:tabs>
        <w:tab w:val="clear" w:pos="340"/>
      </w:tabs>
    </w:pPr>
  </w:style>
  <w:style w:type="character" w:customStyle="1" w:styleId="WingdingSymbols">
    <w:name w:val="Wingding Symbols"/>
    <w:rsid w:val="00D71EB8"/>
    <w:rPr>
      <w:rFonts w:ascii="Wingdings" w:hAnsi="Wingdings"/>
    </w:rPr>
  </w:style>
  <w:style w:type="paragraph" w:customStyle="1" w:styleId="TableHeading">
    <w:name w:val="Table Heading"/>
    <w:basedOn w:val="HeadingBase"/>
    <w:rsid w:val="00D71EB8"/>
    <w:pPr>
      <w:keepLines/>
      <w:pBdr>
        <w:bottom w:val="single" w:sz="6" w:space="1" w:color="918585"/>
      </w:pBdr>
      <w:spacing w:before="240"/>
    </w:pPr>
  </w:style>
  <w:style w:type="character" w:customStyle="1" w:styleId="HotSpot">
    <w:name w:val="HotSpot"/>
    <w:rsid w:val="00D71EB8"/>
    <w:rPr>
      <w:color w:val="0033CC"/>
      <w:u w:val="none"/>
    </w:rPr>
  </w:style>
  <w:style w:type="paragraph" w:customStyle="1" w:styleId="BodyTextRight">
    <w:name w:val="Body Text Right"/>
    <w:basedOn w:val="BodyText"/>
    <w:rsid w:val="00D71EB8"/>
    <w:pPr>
      <w:spacing w:before="0" w:after="0"/>
      <w:jc w:val="right"/>
    </w:pPr>
  </w:style>
  <w:style w:type="paragraph" w:styleId="Index3">
    <w:name w:val="index 3"/>
    <w:basedOn w:val="ListNumber2"/>
    <w:next w:val="Normal"/>
    <w:semiHidden/>
    <w:rsid w:val="00D71EB8"/>
    <w:pPr>
      <w:numPr>
        <w:numId w:val="0"/>
      </w:numPr>
      <w:tabs>
        <w:tab w:val="right" w:leader="dot" w:pos="4176"/>
      </w:tabs>
    </w:pPr>
  </w:style>
  <w:style w:type="paragraph" w:styleId="ListNumber2">
    <w:name w:val="List Number 2"/>
    <w:basedOn w:val="List2"/>
    <w:rsid w:val="00D71EB8"/>
    <w:pPr>
      <w:numPr>
        <w:numId w:val="10"/>
      </w:numPr>
      <w:tabs>
        <w:tab w:val="clear" w:pos="1060"/>
      </w:tabs>
    </w:pPr>
  </w:style>
  <w:style w:type="paragraph" w:customStyle="1" w:styleId="MarginNote">
    <w:name w:val="Margin Note"/>
    <w:basedOn w:val="BodyText"/>
    <w:rsid w:val="00D71EB8"/>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D71EB8"/>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D71EB8"/>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D71EB8"/>
    <w:rPr>
      <w:sz w:val="32"/>
    </w:rPr>
  </w:style>
  <w:style w:type="paragraph" w:customStyle="1" w:styleId="HeadingProcedure">
    <w:name w:val="Heading Procedure"/>
    <w:basedOn w:val="HeadingBase"/>
    <w:next w:val="Normal"/>
    <w:rsid w:val="00D71EB8"/>
    <w:pPr>
      <w:tabs>
        <w:tab w:val="left" w:pos="0"/>
      </w:tabs>
      <w:spacing w:before="120" w:after="60"/>
    </w:pPr>
    <w:rPr>
      <w:i/>
      <w:color w:val="918585"/>
      <w:sz w:val="22"/>
    </w:rPr>
  </w:style>
  <w:style w:type="paragraph" w:customStyle="1" w:styleId="TableBodyText">
    <w:name w:val="Table Body Text"/>
    <w:basedOn w:val="BodyText"/>
    <w:rsid w:val="00D71EB8"/>
    <w:pPr>
      <w:spacing w:before="60" w:after="60"/>
    </w:pPr>
  </w:style>
  <w:style w:type="paragraph" w:styleId="ListContinue">
    <w:name w:val="List Continue"/>
    <w:basedOn w:val="List"/>
    <w:rsid w:val="00D71EB8"/>
    <w:pPr>
      <w:ind w:firstLine="0"/>
    </w:pPr>
  </w:style>
  <w:style w:type="paragraph" w:customStyle="1" w:styleId="ListNote">
    <w:name w:val="List Note"/>
    <w:basedOn w:val="List"/>
    <w:rsid w:val="00D71EB8"/>
    <w:pPr>
      <w:pBdr>
        <w:top w:val="single" w:sz="6" w:space="2" w:color="918585"/>
        <w:bottom w:val="single" w:sz="6" w:space="2" w:color="918585"/>
      </w:pBdr>
      <w:tabs>
        <w:tab w:val="left" w:pos="1021"/>
      </w:tabs>
      <w:ind w:firstLine="0"/>
    </w:pPr>
  </w:style>
  <w:style w:type="paragraph" w:customStyle="1" w:styleId="Warning">
    <w:name w:val="Warning"/>
    <w:basedOn w:val="BodyText"/>
    <w:rsid w:val="00D71EB8"/>
    <w:pPr>
      <w:shd w:val="clear" w:color="auto" w:fill="D9D9D9"/>
      <w:tabs>
        <w:tab w:val="left" w:pos="992"/>
      </w:tabs>
      <w:ind w:left="119" w:right="119"/>
    </w:pPr>
    <w:rPr>
      <w:sz w:val="20"/>
    </w:rPr>
  </w:style>
  <w:style w:type="paragraph" w:customStyle="1" w:styleId="MarginIcons">
    <w:name w:val="Margin Icons"/>
    <w:basedOn w:val="BodyText"/>
    <w:rsid w:val="00D71EB8"/>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D71EB8"/>
    <w:rPr>
      <w:rFonts w:ascii="Courier New" w:hAnsi="Courier New"/>
    </w:rPr>
  </w:style>
  <w:style w:type="paragraph" w:customStyle="1" w:styleId="NoteBullet">
    <w:name w:val="Note Bullet"/>
    <w:basedOn w:val="Note"/>
    <w:rsid w:val="00D71EB8"/>
    <w:pPr>
      <w:tabs>
        <w:tab w:val="clear" w:pos="680"/>
      </w:tabs>
      <w:spacing w:before="60" w:after="60"/>
    </w:pPr>
  </w:style>
  <w:style w:type="paragraph" w:customStyle="1" w:styleId="SubHeading2">
    <w:name w:val="SubHeading2"/>
    <w:basedOn w:val="HeadingBase"/>
    <w:rsid w:val="00D71EB8"/>
    <w:pPr>
      <w:spacing w:before="240" w:after="60"/>
    </w:pPr>
    <w:rPr>
      <w:sz w:val="20"/>
    </w:rPr>
  </w:style>
  <w:style w:type="paragraph" w:customStyle="1" w:styleId="SubHeading1">
    <w:name w:val="SubHeading1"/>
    <w:basedOn w:val="HeadingBase"/>
    <w:rsid w:val="00D71EB8"/>
    <w:pPr>
      <w:spacing w:before="240" w:after="60"/>
    </w:pPr>
    <w:rPr>
      <w:color w:val="918585"/>
      <w:sz w:val="22"/>
    </w:rPr>
  </w:style>
  <w:style w:type="paragraph" w:customStyle="1" w:styleId="SideHeading">
    <w:name w:val="Side Heading"/>
    <w:basedOn w:val="HeadingBase"/>
    <w:rsid w:val="00D71EB8"/>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D71EB8"/>
    <w:pPr>
      <w:tabs>
        <w:tab w:val="num" w:pos="360"/>
      </w:tabs>
    </w:pPr>
  </w:style>
  <w:style w:type="paragraph" w:styleId="PlainText">
    <w:name w:val="Plain Text"/>
    <w:basedOn w:val="Normal"/>
    <w:link w:val="PlainTextChar"/>
    <w:rsid w:val="00D71EB8"/>
    <w:rPr>
      <w:sz w:val="20"/>
    </w:rPr>
  </w:style>
  <w:style w:type="character" w:customStyle="1" w:styleId="PlainTextChar">
    <w:name w:val="Plain Text Char"/>
    <w:basedOn w:val="DefaultParagraphFont"/>
    <w:link w:val="PlainText"/>
    <w:rsid w:val="00D71EB8"/>
    <w:rPr>
      <w:rFonts w:ascii="Courier New" w:eastAsia="Times New Roman" w:hAnsi="Courier New" w:cs="Times New Roman"/>
      <w:sz w:val="20"/>
      <w:szCs w:val="20"/>
      <w:lang w:eastAsia="en-US"/>
    </w:rPr>
  </w:style>
  <w:style w:type="character" w:customStyle="1" w:styleId="MenuOption">
    <w:name w:val="Menu Option"/>
    <w:basedOn w:val="DefaultParagraphFont"/>
    <w:rsid w:val="00D71EB8"/>
    <w:rPr>
      <w:b/>
      <w:smallCaps/>
    </w:rPr>
  </w:style>
  <w:style w:type="paragraph" w:customStyle="1" w:styleId="TableListNumber">
    <w:name w:val="Table List Number"/>
    <w:basedOn w:val="ListNumber"/>
    <w:rsid w:val="00D71EB8"/>
    <w:pPr>
      <w:numPr>
        <w:numId w:val="0"/>
      </w:numPr>
    </w:pPr>
  </w:style>
  <w:style w:type="paragraph" w:styleId="TOC4">
    <w:name w:val="toc 4"/>
    <w:basedOn w:val="TOCBase"/>
    <w:next w:val="Normal"/>
    <w:semiHidden/>
    <w:rsid w:val="00D71EB8"/>
    <w:pPr>
      <w:tabs>
        <w:tab w:val="right" w:leader="dot" w:pos="9071"/>
      </w:tabs>
      <w:ind w:left="1701"/>
    </w:pPr>
  </w:style>
  <w:style w:type="paragraph" w:customStyle="1" w:styleId="ListAlpha">
    <w:name w:val="List Alpha"/>
    <w:basedOn w:val="List"/>
    <w:rsid w:val="00D71EB8"/>
    <w:pPr>
      <w:numPr>
        <w:numId w:val="9"/>
      </w:numPr>
    </w:pPr>
  </w:style>
  <w:style w:type="paragraph" w:customStyle="1" w:styleId="ListAlpha2">
    <w:name w:val="List Alpha 2"/>
    <w:basedOn w:val="List2"/>
    <w:rsid w:val="00D71EB8"/>
    <w:pPr>
      <w:numPr>
        <w:numId w:val="8"/>
      </w:numPr>
    </w:pPr>
  </w:style>
  <w:style w:type="paragraph" w:styleId="List2">
    <w:name w:val="List 2"/>
    <w:basedOn w:val="BodyText"/>
    <w:rsid w:val="00D71EB8"/>
    <w:pPr>
      <w:tabs>
        <w:tab w:val="left" w:pos="680"/>
      </w:tabs>
      <w:spacing w:before="60" w:after="60"/>
      <w:ind w:left="680" w:hanging="340"/>
    </w:pPr>
  </w:style>
  <w:style w:type="paragraph" w:styleId="List3">
    <w:name w:val="List 3"/>
    <w:basedOn w:val="BodyText"/>
    <w:rsid w:val="00D71EB8"/>
    <w:pPr>
      <w:tabs>
        <w:tab w:val="left" w:pos="1021"/>
      </w:tabs>
      <w:spacing w:before="60" w:after="60"/>
      <w:ind w:left="1020" w:hanging="340"/>
    </w:pPr>
  </w:style>
  <w:style w:type="paragraph" w:styleId="List4">
    <w:name w:val="List 4"/>
    <w:basedOn w:val="BodyText"/>
    <w:rsid w:val="00D71EB8"/>
    <w:pPr>
      <w:tabs>
        <w:tab w:val="left" w:pos="1361"/>
      </w:tabs>
      <w:spacing w:before="60" w:after="60"/>
      <w:ind w:left="1361" w:hanging="340"/>
    </w:pPr>
  </w:style>
  <w:style w:type="paragraph" w:styleId="List5">
    <w:name w:val="List 5"/>
    <w:basedOn w:val="BodyText"/>
    <w:rsid w:val="00D71EB8"/>
    <w:pPr>
      <w:tabs>
        <w:tab w:val="left" w:pos="1701"/>
      </w:tabs>
      <w:spacing w:before="60" w:after="60"/>
      <w:ind w:left="1701" w:hanging="340"/>
    </w:pPr>
  </w:style>
  <w:style w:type="paragraph" w:styleId="ListBullet3">
    <w:name w:val="List Bullet 3"/>
    <w:basedOn w:val="List3"/>
    <w:rsid w:val="00D71EB8"/>
    <w:pPr>
      <w:numPr>
        <w:numId w:val="14"/>
      </w:numPr>
      <w:tabs>
        <w:tab w:val="clear" w:pos="1021"/>
      </w:tabs>
      <w:ind w:left="1037" w:hanging="357"/>
    </w:pPr>
  </w:style>
  <w:style w:type="paragraph" w:styleId="ListBullet4">
    <w:name w:val="List Bullet 4"/>
    <w:basedOn w:val="List4"/>
    <w:rsid w:val="00D71EB8"/>
    <w:pPr>
      <w:numPr>
        <w:numId w:val="3"/>
      </w:numPr>
      <w:tabs>
        <w:tab w:val="clear" w:pos="1361"/>
      </w:tabs>
    </w:pPr>
  </w:style>
  <w:style w:type="paragraph" w:styleId="ListBullet5">
    <w:name w:val="List Bullet 5"/>
    <w:basedOn w:val="List5"/>
    <w:rsid w:val="00D71EB8"/>
    <w:pPr>
      <w:numPr>
        <w:numId w:val="4"/>
      </w:numPr>
    </w:pPr>
  </w:style>
  <w:style w:type="paragraph" w:styleId="ListContinue2">
    <w:name w:val="List Continue 2"/>
    <w:basedOn w:val="List2"/>
    <w:rsid w:val="00D71EB8"/>
    <w:pPr>
      <w:ind w:firstLine="0"/>
    </w:pPr>
  </w:style>
  <w:style w:type="paragraph" w:styleId="ListContinue3">
    <w:name w:val="List Continue 3"/>
    <w:basedOn w:val="List3"/>
    <w:rsid w:val="00D71EB8"/>
    <w:pPr>
      <w:ind w:left="1021" w:firstLine="0"/>
    </w:pPr>
  </w:style>
  <w:style w:type="paragraph" w:styleId="ListContinue4">
    <w:name w:val="List Continue 4"/>
    <w:basedOn w:val="List4"/>
    <w:rsid w:val="00D71EB8"/>
    <w:pPr>
      <w:ind w:firstLine="0"/>
    </w:pPr>
  </w:style>
  <w:style w:type="paragraph" w:styleId="ListContinue5">
    <w:name w:val="List Continue 5"/>
    <w:basedOn w:val="List5"/>
    <w:rsid w:val="00D71EB8"/>
    <w:pPr>
      <w:ind w:firstLine="0"/>
    </w:pPr>
  </w:style>
  <w:style w:type="paragraph" w:styleId="ListNumber3">
    <w:name w:val="List Number 3"/>
    <w:basedOn w:val="List3"/>
    <w:rsid w:val="00D71EB8"/>
    <w:pPr>
      <w:numPr>
        <w:numId w:val="5"/>
      </w:numPr>
    </w:pPr>
  </w:style>
  <w:style w:type="paragraph" w:styleId="ListNumber4">
    <w:name w:val="List Number 4"/>
    <w:basedOn w:val="List4"/>
    <w:rsid w:val="00D71EB8"/>
    <w:pPr>
      <w:numPr>
        <w:numId w:val="6"/>
      </w:numPr>
    </w:pPr>
  </w:style>
  <w:style w:type="paragraph" w:styleId="ListNumber5">
    <w:name w:val="List Number 5"/>
    <w:basedOn w:val="List5"/>
    <w:rsid w:val="00D71EB8"/>
    <w:pPr>
      <w:numPr>
        <w:numId w:val="7"/>
      </w:numPr>
    </w:pPr>
  </w:style>
  <w:style w:type="paragraph" w:styleId="BlockText">
    <w:name w:val="Block Text"/>
    <w:basedOn w:val="Normal"/>
    <w:rsid w:val="00D71EB8"/>
    <w:pPr>
      <w:spacing w:after="120"/>
      <w:ind w:left="1440" w:right="1440"/>
    </w:pPr>
  </w:style>
  <w:style w:type="character" w:customStyle="1" w:styleId="Subscript">
    <w:name w:val="Subscript"/>
    <w:basedOn w:val="DefaultParagraphFont"/>
    <w:rsid w:val="00D71EB8"/>
    <w:rPr>
      <w:sz w:val="16"/>
      <w:vertAlign w:val="subscript"/>
    </w:rPr>
  </w:style>
  <w:style w:type="character" w:customStyle="1" w:styleId="Superscript">
    <w:name w:val="Superscript"/>
    <w:basedOn w:val="DefaultParagraphFont"/>
    <w:rsid w:val="00D71EB8"/>
    <w:rPr>
      <w:sz w:val="16"/>
      <w:vertAlign w:val="superscript"/>
    </w:rPr>
  </w:style>
  <w:style w:type="character" w:customStyle="1" w:styleId="Symbols">
    <w:name w:val="Symbols"/>
    <w:basedOn w:val="DefaultParagraphFont"/>
    <w:rsid w:val="00D71EB8"/>
    <w:rPr>
      <w:rFonts w:ascii="Symbol" w:hAnsi="Symbol"/>
    </w:rPr>
  </w:style>
  <w:style w:type="character" w:customStyle="1" w:styleId="MenuOptions">
    <w:name w:val="Menu Options"/>
    <w:basedOn w:val="DefaultParagraphFont"/>
    <w:rsid w:val="00D71EB8"/>
    <w:rPr>
      <w:rFonts w:ascii="Arial Narrow" w:hAnsi="Arial Narrow"/>
      <w:smallCaps/>
    </w:rPr>
  </w:style>
  <w:style w:type="character" w:customStyle="1" w:styleId="Buttons">
    <w:name w:val="Buttons"/>
    <w:basedOn w:val="DefaultParagraphFont"/>
    <w:rsid w:val="00D71EB8"/>
    <w:rPr>
      <w:b/>
    </w:rPr>
  </w:style>
  <w:style w:type="character" w:customStyle="1" w:styleId="Underlined">
    <w:name w:val="Underlined"/>
    <w:basedOn w:val="DefaultParagraphFont"/>
    <w:rsid w:val="00D71EB8"/>
    <w:rPr>
      <w:u w:val="single"/>
    </w:rPr>
  </w:style>
  <w:style w:type="paragraph" w:customStyle="1" w:styleId="TableBodyTextRight">
    <w:name w:val="Table Body Text Right"/>
    <w:basedOn w:val="TableBodyText"/>
    <w:rsid w:val="00D71EB8"/>
    <w:pPr>
      <w:widowControl w:val="0"/>
      <w:autoSpaceDE w:val="0"/>
      <w:autoSpaceDN w:val="0"/>
      <w:adjustRightInd w:val="0"/>
      <w:jc w:val="right"/>
    </w:pPr>
    <w:rPr>
      <w:rFonts w:cs="Arial"/>
      <w:szCs w:val="18"/>
    </w:rPr>
  </w:style>
  <w:style w:type="paragraph" w:customStyle="1" w:styleId="CopyrightText">
    <w:name w:val="Copyright Text"/>
    <w:basedOn w:val="BodyText"/>
    <w:rsid w:val="00D71EB8"/>
    <w:rPr>
      <w:sz w:val="18"/>
    </w:rPr>
  </w:style>
  <w:style w:type="paragraph" w:customStyle="1" w:styleId="BodySmallRight">
    <w:name w:val="Body Small Right"/>
    <w:basedOn w:val="BodyTextRight"/>
    <w:rsid w:val="00D71EB8"/>
    <w:rPr>
      <w:sz w:val="18"/>
      <w:szCs w:val="18"/>
    </w:rPr>
  </w:style>
  <w:style w:type="paragraph" w:customStyle="1" w:styleId="MarginEdition">
    <w:name w:val="Margin Edition"/>
    <w:basedOn w:val="MarginNote"/>
    <w:rsid w:val="00D71EB8"/>
    <w:pPr>
      <w:spacing w:before="0" w:after="0"/>
    </w:pPr>
    <w:rPr>
      <w:rFonts w:ascii="Times New Roman" w:hAnsi="Times New Roman"/>
      <w:color w:val="999999"/>
    </w:rPr>
  </w:style>
  <w:style w:type="paragraph" w:customStyle="1" w:styleId="Spacer">
    <w:name w:val="Spacer"/>
    <w:basedOn w:val="Normal"/>
    <w:rsid w:val="00D71EB8"/>
    <w:rPr>
      <w:sz w:val="2"/>
      <w:szCs w:val="2"/>
    </w:rPr>
  </w:style>
  <w:style w:type="character" w:customStyle="1" w:styleId="Small">
    <w:name w:val="Small"/>
    <w:basedOn w:val="DefaultParagraphFont"/>
    <w:rsid w:val="00D71EB8"/>
    <w:rPr>
      <w:sz w:val="16"/>
    </w:rPr>
  </w:style>
  <w:style w:type="paragraph" w:customStyle="1" w:styleId="WideTable">
    <w:name w:val="Wide Table"/>
    <w:basedOn w:val="Normal"/>
    <w:rsid w:val="00D71EB8"/>
    <w:pPr>
      <w:ind w:left="-1418"/>
    </w:pPr>
    <w:rPr>
      <w:sz w:val="2"/>
      <w:szCs w:val="2"/>
    </w:rPr>
  </w:style>
  <w:style w:type="character" w:styleId="PageNumber">
    <w:name w:val="page number"/>
    <w:basedOn w:val="DefaultParagraphFont"/>
    <w:rsid w:val="00D71EB8"/>
  </w:style>
  <w:style w:type="paragraph" w:styleId="Quote">
    <w:name w:val="Quote"/>
    <w:basedOn w:val="Heading1"/>
    <w:link w:val="QuoteChar"/>
    <w:qFormat/>
    <w:rsid w:val="00D71EB8"/>
    <w:rPr>
      <w:b w:val="0"/>
      <w:sz w:val="72"/>
      <w:szCs w:val="72"/>
      <w:lang w:val="en-NZ"/>
    </w:rPr>
  </w:style>
  <w:style w:type="character" w:customStyle="1" w:styleId="QuoteChar">
    <w:name w:val="Quote Char"/>
    <w:basedOn w:val="DefaultParagraphFont"/>
    <w:link w:val="Quote"/>
    <w:rsid w:val="00D71EB8"/>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D71EB8"/>
    <w:pPr>
      <w:pageBreakBefore/>
    </w:pPr>
  </w:style>
  <w:style w:type="paragraph" w:customStyle="1" w:styleId="Border">
    <w:name w:val="Border"/>
    <w:basedOn w:val="Normal"/>
    <w:qFormat/>
    <w:rsid w:val="00D71EB8"/>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D71EB8"/>
    <w:rPr>
      <w:b/>
      <w:bCs/>
      <w:i/>
      <w:iCs/>
      <w:color w:val="auto"/>
    </w:rPr>
  </w:style>
  <w:style w:type="paragraph" w:styleId="IntenseQuote">
    <w:name w:val="Intense Quote"/>
    <w:basedOn w:val="Normal"/>
    <w:next w:val="Normal"/>
    <w:link w:val="IntenseQuoteChar"/>
    <w:uiPriority w:val="30"/>
    <w:qFormat/>
    <w:rsid w:val="00D71EB8"/>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D71EB8"/>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D71EB8"/>
    <w:rPr>
      <w:smallCaps/>
      <w:color w:val="auto"/>
      <w:u w:val="single"/>
    </w:rPr>
  </w:style>
  <w:style w:type="character" w:styleId="IntenseReference">
    <w:name w:val="Intense Reference"/>
    <w:basedOn w:val="DefaultParagraphFont"/>
    <w:uiPriority w:val="32"/>
    <w:qFormat/>
    <w:rsid w:val="00D71EB8"/>
    <w:rPr>
      <w:b/>
      <w:bCs/>
      <w:smallCaps/>
      <w:color w:val="auto"/>
      <w:spacing w:val="5"/>
      <w:u w:val="single"/>
    </w:rPr>
  </w:style>
  <w:style w:type="paragraph" w:customStyle="1" w:styleId="2ColumnHeading">
    <w:name w:val="2Column Heading"/>
    <w:basedOn w:val="BodyText"/>
    <w:qFormat/>
    <w:rsid w:val="00D71EB8"/>
    <w:pPr>
      <w:spacing w:after="60"/>
      <w:ind w:left="-2268"/>
    </w:pPr>
    <w:rPr>
      <w:b/>
    </w:rPr>
  </w:style>
  <w:style w:type="paragraph" w:customStyle="1" w:styleId="Heading1TOC">
    <w:name w:val="Heading1 TOC"/>
    <w:basedOn w:val="Normal"/>
    <w:qFormat/>
    <w:rsid w:val="00D71EB8"/>
    <w:pPr>
      <w:spacing w:before="240" w:after="120"/>
    </w:pPr>
    <w:rPr>
      <w:rFonts w:ascii="Times New Roman" w:hAnsi="Times New Roman"/>
      <w:b/>
      <w:sz w:val="32"/>
    </w:rPr>
  </w:style>
  <w:style w:type="paragraph" w:customStyle="1" w:styleId="Heading2TOC">
    <w:name w:val="Heading2 TOC"/>
    <w:basedOn w:val="Normal"/>
    <w:qFormat/>
    <w:rsid w:val="00D71EB8"/>
    <w:pPr>
      <w:spacing w:before="240" w:after="60"/>
    </w:pPr>
    <w:rPr>
      <w:rFonts w:ascii="Times New Roman" w:hAnsi="Times New Roman"/>
      <w:b/>
      <w:sz w:val="28"/>
    </w:rPr>
  </w:style>
  <w:style w:type="character" w:customStyle="1" w:styleId="Underline">
    <w:name w:val="Underline"/>
    <w:basedOn w:val="DefaultParagraphFont"/>
    <w:qFormat/>
    <w:rsid w:val="00D71EB8"/>
    <w:rPr>
      <w:u w:val="single"/>
    </w:rPr>
  </w:style>
  <w:style w:type="paragraph" w:styleId="BalloonText">
    <w:name w:val="Balloon Text"/>
    <w:basedOn w:val="Normal"/>
    <w:link w:val="BalloonTextChar"/>
    <w:rsid w:val="00D71EB8"/>
    <w:rPr>
      <w:rFonts w:ascii="Tahoma" w:hAnsi="Tahoma" w:cs="Tahoma"/>
      <w:sz w:val="16"/>
      <w:szCs w:val="16"/>
    </w:rPr>
  </w:style>
  <w:style w:type="character" w:customStyle="1" w:styleId="BalloonTextChar">
    <w:name w:val="Balloon Text Char"/>
    <w:basedOn w:val="DefaultParagraphFont"/>
    <w:link w:val="BalloonText"/>
    <w:rsid w:val="00D71EB8"/>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D71EB8"/>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D71EB8"/>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D71EB8"/>
    <w:rPr>
      <w:b/>
      <w:color w:val="660033"/>
      <w:spacing w:val="0"/>
    </w:rPr>
  </w:style>
  <w:style w:type="paragraph" w:customStyle="1" w:styleId="Nameditemlist">
    <w:name w:val="Named item list"/>
    <w:basedOn w:val="BodyText"/>
    <w:qFormat/>
    <w:rsid w:val="00D71EB8"/>
    <w:pPr>
      <w:tabs>
        <w:tab w:val="left" w:pos="2835"/>
      </w:tabs>
      <w:ind w:left="2835" w:hanging="2835"/>
    </w:pPr>
  </w:style>
  <w:style w:type="paragraph" w:customStyle="1" w:styleId="BodyTextnopadding">
    <w:name w:val="Body Text no padding"/>
    <w:basedOn w:val="BodyText"/>
    <w:qFormat/>
    <w:rsid w:val="00D71EB8"/>
    <w:pPr>
      <w:spacing w:before="0" w:after="0"/>
    </w:pPr>
  </w:style>
  <w:style w:type="paragraph" w:customStyle="1" w:styleId="BodyTextBold">
    <w:name w:val="Body Text Bold"/>
    <w:basedOn w:val="BodyText"/>
    <w:qFormat/>
    <w:rsid w:val="00D71EB8"/>
    <w:rPr>
      <w:b/>
    </w:rPr>
  </w:style>
  <w:style w:type="character" w:styleId="Hyperlink">
    <w:name w:val="Hyperlink"/>
    <w:basedOn w:val="DefaultParagraphFont"/>
    <w:uiPriority w:val="99"/>
    <w:unhideWhenUsed/>
    <w:rsid w:val="00D735D7"/>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830</Words>
  <Characters>5222</Characters>
  <Application>Microsoft Office Word</Application>
  <DocSecurity>0</DocSecurity>
  <Lines>237</Lines>
  <Paragraphs>131</Paragraphs>
  <ScaleCrop>false</ScaleCrop>
  <Company>Author-it Software Corporation Ltd.</Company>
  <LinksUpToDate>false</LinksUpToDate>
  <CharactersWithSpaces>5921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CPCCSG3013 Paint letters and decorative effects for signs</dc:title>
  <dc:subject>Approved</dc:subject>
  <dc:creator>BuildSkills Australia</dc:creator>
  <cp:keywords>Release: 1</cp:keywords>
  <dc:description>Review Date: 12 April 2008</dc:description>
  <cp:lastModifiedBy>HSD_TPCMSd.prod</cp:lastModifiedBy>
  <cp:revision>3</cp:revision>
  <dcterms:created xsi:type="dcterms:W3CDTF">2024-12-24T00:48:00Z</dcterms:created>
  <dcterms:modified xsi:type="dcterms:W3CDTF">2024-12-24T00:48:00Z</dcterms:modified>
</cp:coreProperties>
</file>