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436" w:rsidP="00C77436">
      <w:pPr>
        <w:pStyle w:val="Title"/>
      </w:pPr>
      <w:r>
        <w:fldChar w:fldCharType="begin"/>
      </w:r>
      <w:r>
        <w:instrText xml:space="preserve"> TITLE   \* MERGEFORMAT </w:instrText>
      </w:r>
      <w:r>
        <w:fldChar w:fldCharType="separate"/>
      </w:r>
      <w:r>
        <w:t>CPCCSG3009 Screen-print signs</w:t>
      </w:r>
      <w:r>
        <w:fldChar w:fldCharType="end"/>
      </w:r>
    </w:p>
    <w:p w:rsidR="00C77436" w:rsidP="00C77436">
      <w:pPr>
        <w:pStyle w:val="Version"/>
        <w:sectPr w:rsidSect="00BD0D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DF6" w:rsidP="00BD0DF6">
      <w:pPr>
        <w:pStyle w:val="SuperHeading"/>
      </w:pPr>
      <w:r w:rsidRPr="00BD0DF6">
        <w:t>CPCCSG3009 Screen-print signs</w:t>
      </w:r>
    </w:p>
    <w:p w:rsidR="00000000" w:rsidRPr="00BD0DF6" w:rsidP="00BD0DF6">
      <w:pPr>
        <w:pStyle w:val="Heading1"/>
      </w:pPr>
      <w:bookmarkStart w:id="1" w:name="O_832176"/>
      <w:bookmarkEnd w:id="1"/>
      <w:r w:rsidRPr="00BD0DF6">
        <w:t>Modification History</w:t>
      </w:r>
    </w:p>
    <w:p w:rsidR="00000000" w:rsidRPr="00BD0DF6" w:rsidP="00C77436">
      <w:pPr>
        <w:pStyle w:val="BodyText"/>
      </w:pPr>
      <w:r w:rsidRPr="00BD0DF6">
        <w:t>Release 1.</w:t>
      </w:r>
    </w:p>
    <w:p w:rsidR="00000000" w:rsidRPr="00BD0DF6" w:rsidP="00C77436">
      <w:pPr>
        <w:pStyle w:val="BodyText"/>
      </w:pPr>
      <w:r w:rsidRPr="00BD0DF6">
        <w:t>This version first released with CPC Construction, Plumbing and Services Training Package Version 2.</w:t>
      </w:r>
    </w:p>
    <w:p w:rsidR="00000000" w:rsidRPr="00BD0DF6" w:rsidP="00C77436">
      <w:pPr>
        <w:pStyle w:val="BodyText"/>
      </w:pPr>
      <w:r w:rsidRPr="00BD0DF6">
        <w:t>Revised unit of competency. Replaces superseded equivalent CPCCSI3009A Screen-print signage.</w:t>
      </w:r>
    </w:p>
    <w:p w:rsidR="00000000" w:rsidRPr="00BD0DF6" w:rsidP="00BD0DF6">
      <w:pPr>
        <w:pStyle w:val="Heading1"/>
      </w:pPr>
      <w:bookmarkStart w:id="2" w:name="O_832184"/>
      <w:bookmarkEnd w:id="2"/>
      <w:r w:rsidRPr="00BD0DF6">
        <w:t>Application</w:t>
      </w:r>
    </w:p>
    <w:p w:rsidR="00000000" w:rsidRPr="00BD0DF6" w:rsidP="00C77436">
      <w:pPr>
        <w:pStyle w:val="BodyText"/>
      </w:pPr>
      <w:r w:rsidRPr="00BD0DF6">
        <w:t>This unit of competency specifies the outcomes required to screen-print signs.</w:t>
      </w:r>
    </w:p>
    <w:p w:rsidR="00000000" w:rsidRPr="00BD0DF6" w:rsidP="00C77436">
      <w:pPr>
        <w:pStyle w:val="BodyText"/>
      </w:pPr>
      <w:r w:rsidRPr="00BD0DF6">
        <w:t>The unit supports sign-writers who print directly on to materials, including fabric and paper, using screen-printing tools and techniques.</w:t>
      </w:r>
    </w:p>
    <w:p w:rsidR="00000000" w:rsidRPr="00BD0DF6" w:rsidP="00C77436">
      <w:pPr>
        <w:pStyle w:val="BodyText"/>
      </w:pPr>
      <w:r w:rsidRPr="00BD0DF6">
        <w:t>No licensing, legislative, regulato</w:t>
      </w:r>
      <w:r w:rsidRPr="00BD0DF6">
        <w:t>ry or certification requirements apply to this unit of competency at the time of endorsement.</w:t>
      </w:r>
    </w:p>
    <w:p w:rsidR="00000000" w:rsidRPr="00BD0DF6" w:rsidP="00BD0DF6">
      <w:pPr>
        <w:pStyle w:val="Heading1"/>
      </w:pPr>
      <w:bookmarkStart w:id="3" w:name="O_832183"/>
      <w:bookmarkEnd w:id="3"/>
      <w:r w:rsidRPr="00BD0DF6">
        <w:t>Pre-requisite Unit</w:t>
      </w:r>
    </w:p>
    <w:p w:rsidR="00000000" w:rsidRPr="00BD0DF6" w:rsidP="00C77436">
      <w:pPr>
        <w:pStyle w:val="BodyText"/>
      </w:pPr>
      <w:r w:rsidRPr="00BD0DF6">
        <w:t>Nil</w:t>
      </w:r>
    </w:p>
    <w:p w:rsidR="00000000" w:rsidRPr="00BD0DF6" w:rsidP="00BD0DF6">
      <w:pPr>
        <w:pStyle w:val="Heading1"/>
      </w:pPr>
      <w:bookmarkStart w:id="4" w:name="O_832182"/>
      <w:bookmarkEnd w:id="4"/>
      <w:r w:rsidRPr="00BD0DF6">
        <w:t>Competency Field</w:t>
      </w:r>
    </w:p>
    <w:p w:rsidR="00000000" w:rsidRPr="00BD0DF6" w:rsidP="00C77436">
      <w:pPr>
        <w:pStyle w:val="BodyText"/>
      </w:pPr>
      <w:r w:rsidRPr="00BD0DF6">
        <w:t>Signs and graphics</w:t>
      </w:r>
    </w:p>
    <w:p w:rsidR="00000000" w:rsidRPr="00BD0DF6" w:rsidP="00BD0DF6">
      <w:pPr>
        <w:pStyle w:val="Heading1"/>
      </w:pPr>
      <w:bookmarkStart w:id="5" w:name="O_832181"/>
      <w:bookmarkEnd w:id="5"/>
      <w:r w:rsidRPr="00BD0DF6">
        <w:t>Unit Sector</w:t>
      </w:r>
    </w:p>
    <w:p w:rsidR="00000000" w:rsidRPr="00BD0DF6" w:rsidP="00C77436">
      <w:pPr>
        <w:pStyle w:val="BodyText"/>
      </w:pPr>
      <w:r w:rsidRPr="00BD0DF6">
        <w:t>Construction</w:t>
      </w:r>
    </w:p>
    <w:p w:rsidR="00000000" w:rsidRPr="00BD0DF6" w:rsidP="00BD0DF6">
      <w:pPr>
        <w:pStyle w:val="Heading1"/>
      </w:pPr>
      <w:bookmarkStart w:id="6" w:name="O_832180"/>
      <w:bookmarkEnd w:id="6"/>
      <w:r w:rsidRPr="00BD0DF6">
        <w:t>Elements a</w:t>
      </w:r>
      <w:r w:rsidRPr="00BD0DF6">
        <w:t>nd Performance Criteria</w:t>
      </w:r>
    </w:p>
    <w:tbl>
      <w:tblPr>
        <w:tblW w:w="0" w:type="auto"/>
        <w:tblLayout w:type="fixed"/>
        <w:tblCellMar>
          <w:left w:w="62" w:type="dxa"/>
          <w:right w:w="62" w:type="dxa"/>
        </w:tblCellMar>
        <w:tblLook w:val="0000"/>
      </w:tblPr>
      <w:tblGrid>
        <w:gridCol w:w="686"/>
        <w:gridCol w:w="1986"/>
        <w:gridCol w:w="779"/>
        <w:gridCol w:w="5678"/>
      </w:tblGrid>
      <w:tr w:rsidTr="00BD0DF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 xml:space="preserve">Performance criteria describe the performance needed to demonstrate achievement of the element. Where bold italicised text is used, further information is </w:t>
            </w:r>
            <w:r w:rsidRPr="00BD0DF6">
              <w:t>detailed in the range of conditions.</w:t>
            </w:r>
          </w:p>
        </w:tc>
      </w:tr>
      <w:tr w:rsidTr="00BD0DF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BD0DF6">
            <w:pPr>
              <w:pStyle w:val="BodyText"/>
              <w:rPr>
                <w:lang w:val="en-NZ"/>
              </w:rPr>
            </w:pP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w:t>
            </w:r>
          </w:p>
        </w:tc>
        <w:tc>
          <w:tcPr>
            <w:tcW w:w="1986" w:type="dxa"/>
            <w:vMerge w:val="restart"/>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Plan and prepare work.</w:t>
            </w: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1.1</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 xml:space="preserve">Job requirements are identified from drawings, workplace instructions and client briefs, confirmed, and applied to planning and preparation. </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1.2</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Screen-printing</w:t>
            </w:r>
            <w:r w:rsidRPr="00BD0DF6">
              <w:rPr>
                <w:rStyle w:val="BoldandItalics"/>
              </w:rPr>
              <w:t xml:space="preserve"> tools and equipment</w:t>
            </w:r>
            <w:r w:rsidRPr="00BD0DF6">
              <w:t xml:space="preserve"> are selected, checked for serviceability, and faults are rectified or reported before starting work. </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D0DF6" w:rsidP="00BD0DF6">
            <w:pPr>
              <w:pStyle w:val="BodyText"/>
            </w:pPr>
            <w:r w:rsidRPr="00BD0DF6">
              <w:t>1.3</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rPr>
                <w:rStyle w:val="BoldandItalics"/>
              </w:rPr>
              <w:t>Health and safety requirements</w:t>
            </w:r>
            <w:r w:rsidRPr="00BD0DF6">
              <w:t xml:space="preserve"> are identified according to specified tasks and workplace operations and applied to planning. </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1.4</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 xml:space="preserve">Materials to be screen-printed are selected and prepared for printing. </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1.5</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Number of screens required is calculated and confirmed, and then applied to planning.</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1.6</w:t>
            </w:r>
          </w:p>
        </w:tc>
        <w:tc>
          <w:tcPr>
            <w:tcW w:w="5678" w:type="dxa"/>
            <w:tcBorders>
              <w:top w:val="nil"/>
              <w:left w:val="nil"/>
              <w:bottom w:val="nil"/>
              <w:right w:val="nil"/>
            </w:tcBorders>
            <w:tcMar>
              <w:top w:w="0" w:type="dxa"/>
              <w:left w:w="62" w:type="dxa"/>
              <w:bottom w:w="0" w:type="dxa"/>
              <w:right w:w="62" w:type="dxa"/>
            </w:tcMar>
          </w:tcPr>
          <w:p w:rsidR="00000000" w:rsidRPr="00BD0DF6" w:rsidP="00BD0DF6">
            <w:pPr>
              <w:pStyle w:val="BodyText"/>
            </w:pPr>
            <w:r w:rsidRPr="00BD0DF6">
              <w:t>Ink colours are selected, tested to match specification, and prepared for application.</w:t>
            </w:r>
          </w:p>
        </w:tc>
      </w:tr>
    </w:tbl>
    <w:p w:rsidR="00000000" w:rsidRPr="00BD0DF6" w:rsidP="00BD0DF6">
      <w:pPr>
        <w:pStyle w:val="BodyText"/>
      </w:pPr>
    </w:p>
    <w:tbl>
      <w:tblPr>
        <w:tblW w:w="0" w:type="auto"/>
        <w:tblLayout w:type="fixed"/>
        <w:tblCellMar>
          <w:left w:w="62" w:type="dxa"/>
          <w:right w:w="62" w:type="dxa"/>
        </w:tblCellMar>
        <w:tblLook w:val="0000"/>
      </w:tblPr>
      <w:tblGrid>
        <w:gridCol w:w="686"/>
        <w:gridCol w:w="1985"/>
        <w:gridCol w:w="779"/>
        <w:gridCol w:w="5678"/>
      </w:tblGrid>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w:t>
            </w:r>
          </w:p>
        </w:tc>
        <w:tc>
          <w:tcPr>
            <w:tcW w:w="1985" w:type="dxa"/>
            <w:vMerge w:val="restart"/>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Produce screen-printed sign.</w:t>
            </w: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2.1</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 xml:space="preserve">Material for screen face is cut accurately to setout shape and design is reproduced to screen face. </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2.2</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Stencils are prepared ac</w:t>
            </w:r>
            <w:r w:rsidRPr="00BD0DF6">
              <w:t>cording to job requirements.</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2.3</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Printing process is set up for operation with material and screen aligned to specification.</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2.4</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Ink is applied and spread across screen, checked for even and consistent application, and reapplied as required.</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2.5</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Screens are printed on to substrates to achieve accurate registration according to job specification.</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2.6</w:t>
            </w:r>
          </w:p>
        </w:tc>
        <w:tc>
          <w:tcPr>
            <w:tcW w:w="5678" w:type="dxa"/>
            <w:tcBorders>
              <w:top w:val="nil"/>
              <w:left w:val="nil"/>
              <w:bottom w:val="nil"/>
              <w:right w:val="nil"/>
            </w:tcBorders>
            <w:tcMar>
              <w:top w:w="0" w:type="dxa"/>
              <w:left w:w="62" w:type="dxa"/>
              <w:bottom w:w="0" w:type="dxa"/>
              <w:right w:w="62" w:type="dxa"/>
            </w:tcMar>
          </w:tcPr>
          <w:p w:rsidR="00000000" w:rsidRPr="00BD0DF6" w:rsidP="00BD0DF6">
            <w:pPr>
              <w:pStyle w:val="BodyText"/>
            </w:pPr>
            <w:r w:rsidRPr="00BD0DF6">
              <w:t>Screen-printed sign is checked for consistency and accuracy according to job requirements and defects are identified and rectified.</w:t>
            </w:r>
          </w:p>
        </w:tc>
      </w:tr>
    </w:tbl>
    <w:p w:rsidR="00000000" w:rsidRPr="00BD0DF6" w:rsidP="00BD0DF6">
      <w:pPr>
        <w:pStyle w:val="BodyText"/>
      </w:pPr>
    </w:p>
    <w:tbl>
      <w:tblPr>
        <w:tblW w:w="0" w:type="auto"/>
        <w:tblLayout w:type="fixed"/>
        <w:tblCellMar>
          <w:left w:w="62" w:type="dxa"/>
          <w:right w:w="62" w:type="dxa"/>
        </w:tblCellMar>
        <w:tblLook w:val="0000"/>
      </w:tblPr>
      <w:tblGrid>
        <w:gridCol w:w="686"/>
        <w:gridCol w:w="1985"/>
        <w:gridCol w:w="779"/>
        <w:gridCol w:w="5678"/>
      </w:tblGrid>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3</w:t>
            </w:r>
          </w:p>
        </w:tc>
        <w:tc>
          <w:tcPr>
            <w:tcW w:w="1985" w:type="dxa"/>
            <w:vMerge w:val="restart"/>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Clean up.</w:t>
            </w: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3.1</w:t>
            </w:r>
          </w:p>
        </w:tc>
        <w:tc>
          <w:tcPr>
            <w:tcW w:w="567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Finished sign and surrounding surface area are cleaned and waste materials removed according to statutory and regulatory authority requirements.</w:t>
            </w:r>
          </w:p>
        </w:tc>
      </w:tr>
      <w:tr w:rsidTr="00BD0D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3.2</w:t>
            </w:r>
          </w:p>
        </w:tc>
        <w:tc>
          <w:tcPr>
            <w:tcW w:w="5678" w:type="dxa"/>
            <w:tcBorders>
              <w:top w:val="nil"/>
              <w:left w:val="nil"/>
              <w:bottom w:val="nil"/>
              <w:right w:val="nil"/>
            </w:tcBorders>
            <w:tcMar>
              <w:top w:w="0" w:type="dxa"/>
              <w:left w:w="62" w:type="dxa"/>
              <w:bottom w:w="0" w:type="dxa"/>
              <w:right w:w="62" w:type="dxa"/>
            </w:tcMar>
          </w:tcPr>
          <w:p w:rsidR="00000000" w:rsidRPr="00BD0DF6" w:rsidP="00BD0DF6">
            <w:pPr>
              <w:pStyle w:val="BodyText"/>
            </w:pPr>
            <w:r w:rsidRPr="00BD0DF6">
              <w:t>Tools and equipment, including personal protective equipment (PPE), are cleaned, maintained and stor</w:t>
            </w:r>
            <w:r w:rsidRPr="00BD0DF6">
              <w:t>ed according to workplace requirements.</w:t>
            </w:r>
          </w:p>
        </w:tc>
      </w:tr>
    </w:tbl>
    <w:p w:rsidR="00000000" w:rsidRPr="00BD0DF6" w:rsidP="00BD0DF6">
      <w:pPr>
        <w:pStyle w:val="BodyText"/>
      </w:pPr>
    </w:p>
    <w:p w:rsidR="00000000" w:rsidRPr="00BD0DF6" w:rsidP="00BD0DF6">
      <w:pPr>
        <w:pStyle w:val="AllowPageBreak"/>
      </w:pPr>
    </w:p>
    <w:p w:rsidR="00000000" w:rsidRPr="00BD0DF6" w:rsidP="00BD0DF6">
      <w:pPr>
        <w:pStyle w:val="Heading1"/>
      </w:pPr>
      <w:bookmarkStart w:id="7" w:name="O_832179"/>
      <w:bookmarkEnd w:id="7"/>
      <w:r w:rsidRPr="00BD0DF6">
        <w:t>Foundation Skills</w:t>
      </w:r>
    </w:p>
    <w:tbl>
      <w:tblPr>
        <w:tblW w:w="0" w:type="auto"/>
        <w:tblLayout w:type="fixed"/>
        <w:tblCellMar>
          <w:left w:w="62" w:type="dxa"/>
          <w:right w:w="62" w:type="dxa"/>
        </w:tblCellMar>
        <w:tblLook w:val="0000"/>
      </w:tblPr>
      <w:tblGrid>
        <w:gridCol w:w="2212"/>
        <w:gridCol w:w="6750"/>
      </w:tblGrid>
      <w:tr w:rsidTr="00BD0DF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This section describes the language, literacy, numeracy and employment skills essential to performance in this unit but not explicit in the performance criteria.</w:t>
            </w:r>
          </w:p>
        </w:tc>
      </w:tr>
      <w:tr w:rsidTr="00BD0DF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BD0DF6" w:rsidP="00BD0DF6">
            <w:pPr>
              <w:pStyle w:val="BodyText"/>
            </w:pPr>
            <w:r w:rsidRPr="00BD0DF6">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rPr>
                <w:rStyle w:val="SpecialBold"/>
              </w:rPr>
              <w:t>Performance feature</w:t>
            </w:r>
          </w:p>
        </w:tc>
      </w:tr>
      <w:tr w:rsidTr="00BD0DF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Learning skills to:</w:t>
            </w:r>
          </w:p>
        </w:tc>
        <w:tc>
          <w:tcPr>
            <w:tcW w:w="6750"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transfer key principles and techniques of colour selection when working with different designs to be screen-printed.</w:t>
            </w:r>
          </w:p>
          <w:p w:rsidR="00000000" w:rsidP="00BD0DF6">
            <w:pPr>
              <w:pStyle w:val="BodyText"/>
              <w:rPr>
                <w:lang w:val="en-NZ"/>
              </w:rPr>
            </w:pPr>
          </w:p>
        </w:tc>
      </w:tr>
      <w:tr w:rsidTr="00BD0DF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Numeracy skills to:</w:t>
            </w:r>
          </w:p>
        </w:tc>
        <w:tc>
          <w:tcPr>
            <w:tcW w:w="6750"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calculate and measure quantities of materials required to produce screen-printed signs.</w:t>
            </w:r>
          </w:p>
          <w:p w:rsidR="00000000" w:rsidP="00BD0DF6">
            <w:pPr>
              <w:pStyle w:val="BodyText"/>
              <w:rPr>
                <w:lang w:val="en-NZ"/>
              </w:rPr>
            </w:pPr>
          </w:p>
        </w:tc>
      </w:tr>
      <w:tr w:rsidTr="00BD0DF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check and confirm job requirements with client and colleagues.</w:t>
            </w:r>
          </w:p>
          <w:p w:rsidR="00000000" w:rsidP="00BD0DF6">
            <w:pPr>
              <w:pStyle w:val="BodyText"/>
              <w:rPr>
                <w:lang w:val="en-NZ"/>
              </w:rPr>
            </w:pPr>
          </w:p>
        </w:tc>
      </w:tr>
      <w:tr w:rsidTr="00BD0DF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Reading skills to:</w:t>
            </w:r>
          </w:p>
        </w:tc>
        <w:tc>
          <w:tcPr>
            <w:tcW w:w="6750"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read and interpret workplace documentation to clar</w:t>
            </w:r>
            <w:r w:rsidRPr="00BD0DF6">
              <w:t xml:space="preserve">ify job requirements, including client brief and workplace instructions. </w:t>
            </w:r>
          </w:p>
          <w:p w:rsidR="00000000" w:rsidRPr="00BD0DF6" w:rsidP="00BD0DF6">
            <w:pPr>
              <w:pStyle w:val="BodyText"/>
            </w:pPr>
          </w:p>
        </w:tc>
      </w:tr>
    </w:tbl>
    <w:p w:rsidR="00000000" w:rsidRPr="00BD0DF6" w:rsidP="00BD0DF6">
      <w:pPr>
        <w:pStyle w:val="BodyText"/>
      </w:pPr>
    </w:p>
    <w:p w:rsidR="00000000" w:rsidRPr="00BD0DF6" w:rsidP="00BD0DF6">
      <w:pPr>
        <w:pStyle w:val="AllowPageBreak"/>
      </w:pPr>
    </w:p>
    <w:p w:rsidR="00000000" w:rsidRPr="00BD0DF6" w:rsidP="00BD0DF6">
      <w:pPr>
        <w:pStyle w:val="Heading1"/>
      </w:pPr>
      <w:bookmarkStart w:id="8" w:name="O_832178"/>
      <w:bookmarkEnd w:id="8"/>
      <w:r w:rsidRPr="00BD0DF6">
        <w:t>Range of Conditions</w:t>
      </w:r>
    </w:p>
    <w:tbl>
      <w:tblPr>
        <w:tblW w:w="0" w:type="auto"/>
        <w:tblLayout w:type="fixed"/>
        <w:tblCellMar>
          <w:left w:w="62" w:type="dxa"/>
          <w:right w:w="62" w:type="dxa"/>
        </w:tblCellMar>
        <w:tblLook w:val="0000"/>
      </w:tblPr>
      <w:tblGrid>
        <w:gridCol w:w="2238"/>
        <w:gridCol w:w="6714"/>
      </w:tblGrid>
      <w:tr w:rsidTr="00BD0DF6">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t>This section specifies work environments and conditions that may affect performance. Essential operating conditions that may be present (depending on the work situation, needs of the candidate, accessibility of the item, and local industry and regional con</w:t>
            </w:r>
            <w:r w:rsidRPr="00BD0DF6">
              <w:t>texts) are included. Bold italicised wording, if used in the performance criteria, is detailed below.</w:t>
            </w:r>
          </w:p>
        </w:tc>
      </w:tr>
      <w:tr w:rsidTr="00BD0DF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rPr>
                <w:rStyle w:val="BoldandItalics"/>
              </w:rPr>
              <w:t>Tools and equipment</w:t>
            </w:r>
            <w:r w:rsidRPr="00BD0DF6">
              <w:t xml:space="preserve"> must include at least five of the following:</w:t>
            </w:r>
          </w:p>
        </w:tc>
        <w:tc>
          <w:tcPr>
            <w:tcW w:w="6714"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drying rack</w:t>
            </w:r>
          </w:p>
          <w:p w:rsidR="00000000" w:rsidRPr="00BD0DF6" w:rsidP="00BD0DF6">
            <w:pPr>
              <w:pStyle w:val="ListBullet"/>
            </w:pPr>
            <w:r w:rsidRPr="00BD0DF6">
              <w:t>inks</w:t>
            </w:r>
          </w:p>
          <w:p w:rsidR="00000000" w:rsidRPr="00BD0DF6" w:rsidP="00BD0DF6">
            <w:pPr>
              <w:pStyle w:val="ListBullet"/>
            </w:pPr>
            <w:r w:rsidRPr="00BD0DF6">
              <w:t>kick leg</w:t>
            </w:r>
          </w:p>
          <w:p w:rsidR="00000000" w:rsidRPr="00BD0DF6" w:rsidP="00BD0DF6">
            <w:pPr>
              <w:pStyle w:val="ListBullet"/>
            </w:pPr>
            <w:r w:rsidRPr="00BD0DF6">
              <w:t>paints</w:t>
            </w:r>
          </w:p>
          <w:p w:rsidR="00000000" w:rsidRPr="00BD0DF6" w:rsidP="00BD0DF6">
            <w:pPr>
              <w:pStyle w:val="ListBullet"/>
            </w:pPr>
            <w:r w:rsidRPr="00BD0DF6">
              <w:t>palette knife</w:t>
            </w:r>
          </w:p>
          <w:p w:rsidR="00000000" w:rsidRPr="00BD0DF6" w:rsidP="00BD0DF6">
            <w:pPr>
              <w:pStyle w:val="ListBullet"/>
            </w:pPr>
            <w:r w:rsidRPr="00BD0DF6">
              <w:t>screen</w:t>
            </w:r>
          </w:p>
          <w:p w:rsidR="00000000" w:rsidRPr="00BD0DF6" w:rsidP="00BD0DF6">
            <w:pPr>
              <w:pStyle w:val="ListBullet"/>
            </w:pPr>
            <w:r w:rsidRPr="00BD0DF6">
              <w:t>screening table</w:t>
            </w:r>
          </w:p>
          <w:p w:rsidR="00000000" w:rsidRPr="00BD0DF6" w:rsidP="00BD0DF6">
            <w:pPr>
              <w:pStyle w:val="ListBullet"/>
            </w:pPr>
            <w:r w:rsidRPr="00BD0DF6">
              <w:t>squeegee</w:t>
            </w:r>
          </w:p>
          <w:p w:rsidR="00000000" w:rsidRPr="00BD0DF6" w:rsidP="00BD0DF6">
            <w:pPr>
              <w:pStyle w:val="ListBullet"/>
            </w:pPr>
            <w:r w:rsidRPr="00BD0DF6">
              <w:t>steel rule</w:t>
            </w:r>
          </w:p>
          <w:p w:rsidR="00000000" w:rsidRPr="00BD0DF6" w:rsidP="00BD0DF6">
            <w:pPr>
              <w:pStyle w:val="ListBullet"/>
            </w:pPr>
            <w:r w:rsidRPr="00BD0DF6">
              <w:t>stencil knife.</w:t>
            </w:r>
          </w:p>
          <w:p w:rsidR="00000000" w:rsidP="00BD0DF6">
            <w:pPr>
              <w:pStyle w:val="BodyText"/>
              <w:rPr>
                <w:lang w:val="en-NZ"/>
              </w:rPr>
            </w:pPr>
          </w:p>
        </w:tc>
      </w:tr>
      <w:tr w:rsidTr="00BD0DF6">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BD0DF6">
            <w:pPr>
              <w:pStyle w:val="BodyText"/>
              <w:rPr>
                <w:lang w:val="en-NZ"/>
              </w:rPr>
            </w:pPr>
            <w:r w:rsidRPr="00BD0DF6">
              <w:rPr>
                <w:rStyle w:val="BoldandItalics"/>
              </w:rPr>
              <w:t xml:space="preserve">Health and safety requirements </w:t>
            </w:r>
            <w:r w:rsidRPr="00BD0DF6">
              <w:t>must include:</w:t>
            </w:r>
          </w:p>
        </w:tc>
        <w:tc>
          <w:tcPr>
            <w:tcW w:w="6714" w:type="dxa"/>
            <w:tcBorders>
              <w:top w:val="nil"/>
              <w:left w:val="nil"/>
              <w:bottom w:val="nil"/>
              <w:right w:val="nil"/>
            </w:tcBorders>
            <w:tcMar>
              <w:top w:w="0" w:type="dxa"/>
              <w:left w:w="62" w:type="dxa"/>
              <w:bottom w:w="0" w:type="dxa"/>
              <w:right w:w="62" w:type="dxa"/>
            </w:tcMar>
          </w:tcPr>
          <w:p w:rsidR="00000000" w:rsidRPr="00BD0DF6" w:rsidP="00BD0DF6">
            <w:pPr>
              <w:pStyle w:val="ListBullet"/>
            </w:pPr>
            <w:r w:rsidRPr="00BD0DF6">
              <w:t>selection, correct fitting, and use of PPE prescribed under legislation, regulations and workplace policies and practices</w:t>
            </w:r>
          </w:p>
          <w:p w:rsidR="00000000" w:rsidRPr="00BD0DF6" w:rsidP="00BD0DF6">
            <w:pPr>
              <w:pStyle w:val="ListBullet"/>
            </w:pPr>
            <w:r w:rsidRPr="00BD0DF6">
              <w:t>emergency procedures, including:</w:t>
            </w:r>
          </w:p>
          <w:p w:rsidR="00000000" w:rsidRPr="00BD0DF6" w:rsidP="00BD0DF6">
            <w:pPr>
              <w:pStyle w:val="ListBullet2"/>
            </w:pPr>
            <w:r w:rsidRPr="00BD0DF6">
              <w:t>evacuation</w:t>
            </w:r>
          </w:p>
          <w:p w:rsidR="00000000" w:rsidRPr="00BD0DF6" w:rsidP="00BD0DF6">
            <w:pPr>
              <w:pStyle w:val="ListBullet2"/>
            </w:pPr>
            <w:r w:rsidRPr="00BD0DF6">
              <w:t>first aid</w:t>
            </w:r>
          </w:p>
          <w:p w:rsidR="00000000" w:rsidRPr="00BD0DF6" w:rsidP="00BD0DF6">
            <w:pPr>
              <w:pStyle w:val="ListBullet2"/>
            </w:pPr>
            <w:r w:rsidRPr="00BD0DF6">
              <w:t>location and use of firefighting equipment</w:t>
            </w:r>
          </w:p>
          <w:p w:rsidR="00000000" w:rsidRPr="00BD0DF6" w:rsidP="00BD0DF6">
            <w:pPr>
              <w:pStyle w:val="ListBullet"/>
            </w:pPr>
            <w:r w:rsidRPr="00BD0DF6">
              <w:t>hazard identification and risk control procedures</w:t>
            </w:r>
          </w:p>
          <w:p w:rsidR="00000000" w:rsidRPr="00BD0DF6" w:rsidP="00BD0DF6">
            <w:pPr>
              <w:pStyle w:val="ListBullet"/>
            </w:pPr>
            <w:r w:rsidRPr="00BD0DF6">
              <w:t>safe operating procedures, including the conduct of operational risk assessment and treatments associated with:</w:t>
            </w:r>
          </w:p>
          <w:p w:rsidR="00000000" w:rsidRPr="00BD0DF6" w:rsidP="00BD0DF6">
            <w:pPr>
              <w:pStyle w:val="ListBullet2"/>
            </w:pPr>
            <w:r w:rsidRPr="00BD0DF6">
              <w:t>lighting</w:t>
            </w:r>
          </w:p>
          <w:p w:rsidR="00000000" w:rsidRPr="00BD0DF6" w:rsidP="00BD0DF6">
            <w:pPr>
              <w:pStyle w:val="ListBullet2"/>
            </w:pPr>
            <w:r w:rsidRPr="00BD0DF6">
              <w:t>use of machines</w:t>
            </w:r>
          </w:p>
          <w:p w:rsidR="00000000" w:rsidRPr="00BD0DF6" w:rsidP="00BD0DF6">
            <w:pPr>
              <w:pStyle w:val="ListBullet2"/>
            </w:pPr>
            <w:r w:rsidRPr="00BD0DF6">
              <w:t>use of tools and equipme</w:t>
            </w:r>
            <w:r w:rsidRPr="00BD0DF6">
              <w:t>nt</w:t>
            </w:r>
          </w:p>
          <w:p w:rsidR="00000000" w:rsidRPr="00BD0DF6" w:rsidP="00BD0DF6">
            <w:pPr>
              <w:pStyle w:val="ListBullet"/>
            </w:pPr>
            <w:r w:rsidRPr="00BD0DF6">
              <w:t>workplace environmental requirements.</w:t>
            </w:r>
          </w:p>
          <w:p w:rsidR="00000000" w:rsidRPr="00BD0DF6" w:rsidP="00BD0DF6">
            <w:pPr>
              <w:pStyle w:val="BodyText"/>
            </w:pPr>
          </w:p>
        </w:tc>
      </w:tr>
    </w:tbl>
    <w:p w:rsidR="00000000" w:rsidRPr="00BD0DF6" w:rsidP="00BD0DF6">
      <w:pPr>
        <w:pStyle w:val="BodyText"/>
      </w:pPr>
    </w:p>
    <w:p w:rsidR="00000000" w:rsidRPr="00BD0DF6" w:rsidP="00BD0DF6">
      <w:pPr>
        <w:pStyle w:val="AllowPageBreak"/>
      </w:pPr>
    </w:p>
    <w:p w:rsidR="00000000" w:rsidRPr="00BD0DF6" w:rsidP="00BD0DF6">
      <w:pPr>
        <w:pStyle w:val="Heading1"/>
      </w:pPr>
      <w:bookmarkStart w:id="9" w:name="O_832177"/>
      <w:bookmarkEnd w:id="9"/>
      <w:r w:rsidRPr="00BD0DF6">
        <w:t>Unit Mapping Information</w:t>
      </w:r>
    </w:p>
    <w:p w:rsidR="00000000" w:rsidRPr="00BD0DF6" w:rsidP="00C77436">
      <w:pPr>
        <w:pStyle w:val="BodyText"/>
      </w:pPr>
      <w:r w:rsidRPr="00BD0DF6">
        <w:t>CPCCSI3009A Screen-print signage</w:t>
      </w:r>
    </w:p>
    <w:p w:rsidR="00000000" w:rsidRPr="00BD0DF6" w:rsidP="00BD0DF6">
      <w:pPr>
        <w:pStyle w:val="Heading1"/>
      </w:pPr>
      <w:bookmarkStart w:id="10" w:name="O_832170"/>
      <w:bookmarkEnd w:id="10"/>
      <w:r w:rsidRPr="00BD0DF6">
        <w:t>Links</w:t>
      </w:r>
    </w:p>
    <w:p w:rsidR="00000000" w:rsidRPr="00BD0DF6" w:rsidP="00C77436">
      <w:pPr>
        <w:pStyle w:val="BodyText"/>
      </w:pPr>
      <w:r w:rsidRPr="00BD0DF6">
        <w:t>Companion Volume implementation guides are found in VETN</w:t>
      </w:r>
      <w:r w:rsidRPr="00BD0DF6">
        <w:t xml:space="preserve">et - </w:t>
      </w:r>
      <w:r>
        <w:fldChar w:fldCharType="begin"/>
      </w:r>
      <w:r>
        <w:instrText xml:space="preserve"> HYPERLINK "https://vetnet.gov.au/Pages/TrainingDocs.aspx?q=7e15fa6a-68b8-4097-b099-030a5569b1ad" </w:instrText>
      </w:r>
      <w:r>
        <w:fldChar w:fldCharType="separate"/>
      </w:r>
      <w:r w:rsidRPr="00EB79B9">
        <w:rPr>
          <w:rStyle w:val="Hyperlink"/>
        </w:rPr>
        <w:t>https://vetnet.gov.au/Pages/TrainingDocs.aspx?q=7e15fa6a-68b8-4097-b099-030a5569b1ad</w:t>
      </w:r>
      <w:r>
        <w:fldChar w:fldCharType="end"/>
      </w:r>
    </w:p>
    <w:p w:rsidR="00000000" w:rsidRPr="00BD0DF6" w:rsidP="00BD0DF6"/>
    <w:sectPr w:rsidSect="00BD0D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F6" w:rsidRPr="00C77436" w:rsidP="00C77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36" w:rsidP="00BD0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436" w:rsidP="00BD0D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77436" w:rsidP="00BD0D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DF6" w:rsidRPr="00C77436" w:rsidP="00C77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36" w:rsidRPr="002D2AF8" w:rsidP="00BD0DF6">
    <w:pPr>
      <w:pStyle w:val="Header"/>
      <w:framePr w:wrap="around"/>
    </w:pPr>
    <w:r>
      <w:fldChar w:fldCharType="begin"/>
    </w:r>
    <w:r>
      <w:instrText xml:space="preserve"> TITLE   \* MERGEFORMAT </w:instrText>
    </w:r>
    <w:r>
      <w:fldChar w:fldCharType="separate"/>
    </w:r>
    <w:r>
      <w:t>CPCCSG3009 Screen-print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77436" w:rsidP="00BD0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4C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0C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0B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DF6"/>
    <w:pPr>
      <w:spacing w:before="360" w:after="60"/>
      <w:outlineLvl w:val="0"/>
    </w:pPr>
    <w:rPr>
      <w:sz w:val="32"/>
    </w:rPr>
  </w:style>
  <w:style w:type="paragraph" w:styleId="Heading2">
    <w:name w:val="heading 2"/>
    <w:basedOn w:val="HeadingBase"/>
    <w:next w:val="BodyText"/>
    <w:link w:val="Heading2Char"/>
    <w:qFormat/>
    <w:rsid w:val="00BD0DF6"/>
    <w:pPr>
      <w:keepLines/>
      <w:spacing w:before="240" w:after="120"/>
      <w:outlineLvl w:val="1"/>
    </w:pPr>
    <w:rPr>
      <w:sz w:val="28"/>
      <w:szCs w:val="40"/>
    </w:rPr>
  </w:style>
  <w:style w:type="paragraph" w:styleId="Heading3">
    <w:name w:val="heading 3"/>
    <w:basedOn w:val="HeadingBase"/>
    <w:next w:val="BodyText"/>
    <w:link w:val="Heading3Char"/>
    <w:qFormat/>
    <w:rsid w:val="00BD0DF6"/>
    <w:pPr>
      <w:spacing w:before="180" w:after="120"/>
      <w:outlineLvl w:val="2"/>
    </w:pPr>
    <w:rPr>
      <w:spacing w:val="-10"/>
      <w:kern w:val="32"/>
    </w:rPr>
  </w:style>
  <w:style w:type="paragraph" w:styleId="Heading4">
    <w:name w:val="heading 4"/>
    <w:basedOn w:val="HeadingBase"/>
    <w:next w:val="BodyText"/>
    <w:link w:val="Heading4Char"/>
    <w:qFormat/>
    <w:rsid w:val="00BD0DF6"/>
    <w:pPr>
      <w:spacing w:before="160" w:after="120"/>
      <w:outlineLvl w:val="3"/>
    </w:pPr>
    <w:rPr>
      <w:sz w:val="22"/>
    </w:rPr>
  </w:style>
  <w:style w:type="paragraph" w:styleId="Heading5">
    <w:name w:val="heading 5"/>
    <w:basedOn w:val="HeadingBase"/>
    <w:next w:val="Normal"/>
    <w:link w:val="Heading5Char"/>
    <w:qFormat/>
    <w:rsid w:val="00BD0DF6"/>
    <w:pPr>
      <w:spacing w:before="80"/>
      <w:outlineLvl w:val="4"/>
    </w:pPr>
    <w:rPr>
      <w:color w:val="918585"/>
      <w:sz w:val="20"/>
    </w:rPr>
  </w:style>
  <w:style w:type="paragraph" w:styleId="Heading6">
    <w:name w:val="heading 6"/>
    <w:basedOn w:val="HeadingBase"/>
    <w:next w:val="Normal"/>
    <w:link w:val="Heading6Char"/>
    <w:qFormat/>
    <w:rsid w:val="00BD0DF6"/>
    <w:pPr>
      <w:spacing w:before="60"/>
      <w:outlineLvl w:val="5"/>
    </w:pPr>
    <w:rPr>
      <w:color w:val="918585"/>
      <w:sz w:val="20"/>
    </w:rPr>
  </w:style>
  <w:style w:type="paragraph" w:styleId="Heading7">
    <w:name w:val="heading 7"/>
    <w:basedOn w:val="Normal"/>
    <w:next w:val="Normal"/>
    <w:link w:val="Heading7Char"/>
    <w:qFormat/>
    <w:rsid w:val="00BD0DF6"/>
    <w:pPr>
      <w:ind w:left="720"/>
      <w:outlineLvl w:val="6"/>
    </w:pPr>
    <w:rPr>
      <w:i/>
    </w:rPr>
  </w:style>
  <w:style w:type="paragraph" w:styleId="Heading8">
    <w:name w:val="heading 8"/>
    <w:basedOn w:val="Normal"/>
    <w:next w:val="Normal"/>
    <w:link w:val="Heading8Char"/>
    <w:qFormat/>
    <w:rsid w:val="00BD0DF6"/>
    <w:pPr>
      <w:ind w:left="720"/>
      <w:outlineLvl w:val="7"/>
    </w:pPr>
    <w:rPr>
      <w:i/>
    </w:rPr>
  </w:style>
  <w:style w:type="paragraph" w:styleId="Heading9">
    <w:name w:val="heading 9"/>
    <w:basedOn w:val="Normal"/>
    <w:next w:val="Normal"/>
    <w:link w:val="Heading9Char"/>
    <w:qFormat/>
    <w:rsid w:val="00BD0DF6"/>
    <w:pPr>
      <w:ind w:left="720"/>
      <w:outlineLvl w:val="8"/>
    </w:pPr>
    <w:rPr>
      <w:i/>
    </w:rPr>
  </w:style>
  <w:style w:type="character" w:default="1" w:styleId="DefaultParagraphFont">
    <w:name w:val="Default Paragraph Font"/>
    <w:uiPriority w:val="1"/>
    <w:unhideWhenUsed/>
    <w:rsid w:val="00BD0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DF6"/>
  </w:style>
  <w:style w:type="character" w:customStyle="1" w:styleId="Heading1Char">
    <w:name w:val="Heading 1 Char"/>
    <w:basedOn w:val="DefaultParagraphFont"/>
    <w:link w:val="Heading1"/>
    <w:rsid w:val="00BD0DF6"/>
    <w:rPr>
      <w:rFonts w:ascii="Times New Roman" w:eastAsia="Times New Roman" w:hAnsi="Times New Roman" w:cs="Times New Roman"/>
      <w:b/>
      <w:sz w:val="32"/>
      <w:szCs w:val="20"/>
      <w:lang w:eastAsia="en-US"/>
    </w:rPr>
  </w:style>
  <w:style w:type="paragraph" w:styleId="BodyText">
    <w:name w:val="Body Text"/>
    <w:basedOn w:val="Normal"/>
    <w:link w:val="BodyTextChar"/>
    <w:rsid w:val="00BD0D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DF6"/>
    <w:rPr>
      <w:rFonts w:ascii="Times New Roman" w:eastAsia="Times New Roman" w:hAnsi="Times New Roman" w:cs="Times New Roman"/>
      <w:sz w:val="24"/>
      <w:lang w:eastAsia="en-US"/>
    </w:rPr>
  </w:style>
  <w:style w:type="paragraph" w:styleId="ListBullet">
    <w:name w:val="List Bullet"/>
    <w:basedOn w:val="List"/>
    <w:rsid w:val="00BD0DF6"/>
    <w:pPr>
      <w:numPr>
        <w:numId w:val="12"/>
      </w:numPr>
      <w:tabs>
        <w:tab w:val="clear" w:pos="340"/>
      </w:tabs>
      <w:spacing w:before="40" w:after="40"/>
    </w:pPr>
  </w:style>
  <w:style w:type="character" w:customStyle="1" w:styleId="SpecialBold">
    <w:name w:val="Special Bold"/>
    <w:basedOn w:val="DefaultParagraphFont"/>
    <w:rsid w:val="00BD0DF6"/>
    <w:rPr>
      <w:b/>
      <w:spacing w:val="0"/>
    </w:rPr>
  </w:style>
  <w:style w:type="paragraph" w:styleId="ListBullet2">
    <w:name w:val="List Bullet 2"/>
    <w:basedOn w:val="List2"/>
    <w:rsid w:val="00BD0DF6"/>
    <w:pPr>
      <w:numPr>
        <w:numId w:val="13"/>
      </w:numPr>
      <w:tabs>
        <w:tab w:val="clear" w:pos="680"/>
      </w:tabs>
    </w:pPr>
  </w:style>
  <w:style w:type="paragraph" w:customStyle="1" w:styleId="SuperHeading">
    <w:name w:val="SuperHeading"/>
    <w:basedOn w:val="Normal"/>
    <w:rsid w:val="00BD0DF6"/>
    <w:pPr>
      <w:spacing w:before="240" w:after="120"/>
      <w:outlineLvl w:val="0"/>
    </w:pPr>
    <w:rPr>
      <w:rFonts w:ascii="Times New Roman" w:hAnsi="Times New Roman"/>
      <w:b/>
      <w:sz w:val="32"/>
    </w:rPr>
  </w:style>
  <w:style w:type="paragraph" w:customStyle="1" w:styleId="AllowPageBreak">
    <w:name w:val="AllowPageBreak"/>
    <w:rsid w:val="00BD0D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0DF6"/>
    <w:rPr>
      <w:b/>
      <w:i/>
      <w:u w:val="none"/>
    </w:rPr>
  </w:style>
  <w:style w:type="character" w:customStyle="1" w:styleId="Heading2Char">
    <w:name w:val="Heading 2 Char"/>
    <w:basedOn w:val="DefaultParagraphFont"/>
    <w:link w:val="Heading2"/>
    <w:rsid w:val="00BD0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DF6"/>
    <w:rPr>
      <w:rFonts w:ascii="Courier New" w:eastAsia="Times New Roman" w:hAnsi="Courier New" w:cs="Times New Roman"/>
      <w:i/>
      <w:szCs w:val="20"/>
      <w:lang w:eastAsia="en-US"/>
    </w:rPr>
  </w:style>
  <w:style w:type="paragraph" w:customStyle="1" w:styleId="HeadingBase">
    <w:name w:val="Heading Base"/>
    <w:rsid w:val="00BD0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DF6"/>
    <w:pPr>
      <w:tabs>
        <w:tab w:val="right" w:leader="dot" w:pos="9072"/>
      </w:tabs>
      <w:ind w:left="567"/>
    </w:pPr>
    <w:rPr>
      <w:szCs w:val="22"/>
    </w:rPr>
  </w:style>
  <w:style w:type="paragraph" w:customStyle="1" w:styleId="TOCBase">
    <w:name w:val="TOC Base"/>
    <w:rsid w:val="00BD0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DF6"/>
    <w:pPr>
      <w:tabs>
        <w:tab w:val="right" w:leader="dot" w:pos="9072"/>
      </w:tabs>
      <w:spacing w:before="40" w:after="40"/>
      <w:ind w:left="284"/>
    </w:pPr>
    <w:rPr>
      <w:rFonts w:ascii="Times New Roman" w:hAnsi="Times New Roman"/>
    </w:rPr>
  </w:style>
  <w:style w:type="paragraph" w:styleId="TOC1">
    <w:name w:val="toc 1"/>
    <w:basedOn w:val="TOCBase"/>
    <w:next w:val="Normal"/>
    <w:rsid w:val="00BD0D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DF6"/>
    <w:rPr>
      <w:rFonts w:ascii="Times New Roman" w:eastAsia="Times New Roman" w:hAnsi="Times New Roman" w:cs="Times New Roman"/>
      <w:sz w:val="16"/>
      <w:lang w:eastAsia="en-US"/>
    </w:rPr>
  </w:style>
  <w:style w:type="paragraph" w:styleId="Title">
    <w:name w:val="Title"/>
    <w:basedOn w:val="HeadingBase"/>
    <w:link w:val="TitleChar"/>
    <w:qFormat/>
    <w:rsid w:val="00BD0DF6"/>
    <w:pPr>
      <w:spacing w:before="5040"/>
      <w:jc w:val="center"/>
    </w:pPr>
    <w:rPr>
      <w:sz w:val="48"/>
      <w:szCs w:val="72"/>
      <w:lang w:val="en-US"/>
    </w:rPr>
  </w:style>
  <w:style w:type="character" w:customStyle="1" w:styleId="TitleChar">
    <w:name w:val="Title Char"/>
    <w:basedOn w:val="DefaultParagraphFont"/>
    <w:link w:val="Title"/>
    <w:rsid w:val="00BD0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DF6"/>
    <w:pPr>
      <w:tabs>
        <w:tab w:val="left" w:pos="3600"/>
        <w:tab w:val="left" w:pos="3958"/>
      </w:tabs>
    </w:pPr>
  </w:style>
  <w:style w:type="paragraph" w:styleId="List">
    <w:name w:val="List"/>
    <w:basedOn w:val="BodyText"/>
    <w:next w:val="BodyText"/>
    <w:rsid w:val="00BD0DF6"/>
    <w:pPr>
      <w:tabs>
        <w:tab w:val="left" w:pos="340"/>
      </w:tabs>
      <w:spacing w:before="60" w:after="60"/>
      <w:ind w:left="340" w:hanging="340"/>
    </w:pPr>
  </w:style>
  <w:style w:type="paragraph" w:customStyle="1" w:styleId="Note">
    <w:name w:val="Note"/>
    <w:basedOn w:val="BodyText"/>
    <w:rsid w:val="00BD0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DF6"/>
    <w:pPr>
      <w:framePr w:wrap="auto" w:hAnchor="text" w:y="6049"/>
    </w:pPr>
    <w:rPr>
      <w:color w:val="000000"/>
      <w:sz w:val="40"/>
    </w:rPr>
  </w:style>
  <w:style w:type="paragraph" w:customStyle="1" w:styleId="TOCTitle">
    <w:name w:val="TOCTitle"/>
    <w:basedOn w:val="Heading1"/>
    <w:rsid w:val="00BD0DF6"/>
    <w:pPr>
      <w:spacing w:after="240"/>
      <w:jc w:val="center"/>
      <w:outlineLvl w:val="9"/>
    </w:pPr>
    <w:rPr>
      <w:caps/>
    </w:rPr>
  </w:style>
  <w:style w:type="paragraph" w:customStyle="1" w:styleId="Version">
    <w:name w:val="Version"/>
    <w:rsid w:val="00BD0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DF6"/>
    <w:pPr>
      <w:keepNext w:val="0"/>
      <w:tabs>
        <w:tab w:val="right" w:pos="4176"/>
      </w:tabs>
      <w:ind w:left="198" w:hanging="198"/>
    </w:pPr>
    <w:rPr>
      <w:rFonts w:ascii="Garamond" w:hAnsi="Garamond"/>
    </w:rPr>
  </w:style>
  <w:style w:type="paragraph" w:styleId="IndexHeading">
    <w:name w:val="index heading"/>
    <w:basedOn w:val="Normal"/>
    <w:next w:val="Index1"/>
    <w:semiHidden/>
    <w:rsid w:val="00BD0DF6"/>
    <w:pPr>
      <w:spacing w:before="120" w:after="120"/>
    </w:pPr>
    <w:rPr>
      <w:rFonts w:ascii="Arial" w:hAnsi="Arial"/>
      <w:b/>
      <w:color w:val="918585"/>
      <w:sz w:val="24"/>
    </w:rPr>
  </w:style>
  <w:style w:type="paragraph" w:styleId="Header">
    <w:name w:val="header"/>
    <w:basedOn w:val="Normal"/>
    <w:link w:val="HeaderChar"/>
    <w:rsid w:val="00BD0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DF6"/>
    <w:rPr>
      <w:rFonts w:ascii="Times New Roman" w:eastAsia="Times New Roman" w:hAnsi="Times New Roman" w:cs="Times New Roman"/>
      <w:sz w:val="16"/>
      <w:szCs w:val="20"/>
      <w:lang w:val="en-GB" w:eastAsia="en-US"/>
    </w:rPr>
  </w:style>
  <w:style w:type="paragraph" w:customStyle="1" w:styleId="Chapter">
    <w:name w:val="Chapter"/>
    <w:basedOn w:val="Normal"/>
    <w:rsid w:val="00BD0DF6"/>
    <w:pPr>
      <w:spacing w:before="240"/>
    </w:pPr>
    <w:rPr>
      <w:rFonts w:ascii="Times New Roman" w:hAnsi="Times New Roman"/>
      <w:smallCaps/>
      <w:spacing w:val="80"/>
      <w:sz w:val="28"/>
    </w:rPr>
  </w:style>
  <w:style w:type="paragraph" w:customStyle="1" w:styleId="InChapter">
    <w:name w:val="InChapter"/>
    <w:basedOn w:val="Heading3"/>
    <w:rsid w:val="00BD0DF6"/>
    <w:pPr>
      <w:spacing w:after="240"/>
      <w:outlineLvl w:val="9"/>
    </w:pPr>
    <w:rPr>
      <w:noProof/>
    </w:rPr>
  </w:style>
  <w:style w:type="paragraph" w:styleId="Index2">
    <w:name w:val="index 2"/>
    <w:basedOn w:val="Normal"/>
    <w:next w:val="Normal"/>
    <w:semiHidden/>
    <w:rsid w:val="00BD0DF6"/>
    <w:pPr>
      <w:tabs>
        <w:tab w:val="right" w:pos="4176"/>
      </w:tabs>
      <w:ind w:left="568" w:hanging="284"/>
    </w:pPr>
    <w:rPr>
      <w:rFonts w:ascii="Garamond" w:hAnsi="Garamond"/>
    </w:rPr>
  </w:style>
  <w:style w:type="paragraph" w:customStyle="1" w:styleId="Byline">
    <w:name w:val="Byline"/>
    <w:rsid w:val="00BD0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DF6"/>
    <w:pPr>
      <w:tabs>
        <w:tab w:val="clear" w:pos="3600"/>
        <w:tab w:val="clear" w:pos="3958"/>
      </w:tabs>
      <w:jc w:val="right"/>
    </w:pPr>
  </w:style>
  <w:style w:type="character" w:styleId="Emphasis">
    <w:name w:val="Emphasis"/>
    <w:basedOn w:val="DefaultParagraphFont"/>
    <w:qFormat/>
    <w:rsid w:val="00BD0DF6"/>
    <w:rPr>
      <w:i/>
    </w:rPr>
  </w:style>
  <w:style w:type="paragraph" w:styleId="Caption">
    <w:name w:val="caption"/>
    <w:basedOn w:val="BodyText"/>
    <w:next w:val="Normal"/>
    <w:qFormat/>
    <w:rsid w:val="00BD0DF6"/>
    <w:pPr>
      <w:framePr w:w="2268" w:hSpace="181" w:vSpace="181" w:wrap="around" w:vAnchor="text" w:hAnchor="page" w:x="1135" w:y="285" w:anchorLock="1"/>
    </w:pPr>
    <w:rPr>
      <w:i/>
    </w:rPr>
  </w:style>
  <w:style w:type="paragraph" w:customStyle="1" w:styleId="MiniTOCTitle">
    <w:name w:val="MiniTOCTitle"/>
    <w:basedOn w:val="Heading4"/>
    <w:rsid w:val="00BD0DF6"/>
    <w:pPr>
      <w:spacing w:before="240"/>
      <w:outlineLvl w:val="9"/>
    </w:pPr>
    <w:rPr>
      <w:noProof/>
      <w:sz w:val="24"/>
    </w:rPr>
  </w:style>
  <w:style w:type="paragraph" w:customStyle="1" w:styleId="MiniTOCItem">
    <w:name w:val="MiniTOCItem"/>
    <w:basedOn w:val="ListBullet"/>
    <w:rsid w:val="00BD0DF6"/>
    <w:pPr>
      <w:numPr>
        <w:numId w:val="0"/>
      </w:numPr>
      <w:tabs>
        <w:tab w:val="right" w:leader="dot" w:pos="6521"/>
      </w:tabs>
      <w:spacing w:before="0" w:after="0"/>
    </w:pPr>
  </w:style>
  <w:style w:type="paragraph" w:customStyle="1" w:styleId="TOFTitle">
    <w:name w:val="TOFTitle"/>
    <w:basedOn w:val="TOCTitle"/>
    <w:rsid w:val="00BD0DF6"/>
  </w:style>
  <w:style w:type="paragraph" w:styleId="TableofFigures">
    <w:name w:val="table of figures"/>
    <w:basedOn w:val="Normal"/>
    <w:next w:val="Normal"/>
    <w:semiHidden/>
    <w:rsid w:val="00BD0DF6"/>
    <w:pPr>
      <w:tabs>
        <w:tab w:val="right" w:leader="dot" w:pos="9072"/>
      </w:tabs>
      <w:ind w:left="970" w:hanging="403"/>
    </w:pPr>
    <w:rPr>
      <w:rFonts w:ascii="Times New Roman" w:hAnsi="Times New Roman"/>
      <w:b/>
    </w:rPr>
  </w:style>
  <w:style w:type="paragraph" w:styleId="ListNumber">
    <w:name w:val="List Number"/>
    <w:basedOn w:val="List"/>
    <w:rsid w:val="00BD0DF6"/>
    <w:pPr>
      <w:numPr>
        <w:numId w:val="15"/>
      </w:numPr>
      <w:tabs>
        <w:tab w:val="clear" w:pos="340"/>
      </w:tabs>
    </w:pPr>
  </w:style>
  <w:style w:type="character" w:customStyle="1" w:styleId="WingdingSymbols">
    <w:name w:val="Wingding Symbols"/>
    <w:rsid w:val="00BD0DF6"/>
    <w:rPr>
      <w:rFonts w:ascii="Wingdings" w:hAnsi="Wingdings"/>
    </w:rPr>
  </w:style>
  <w:style w:type="paragraph" w:customStyle="1" w:styleId="TableHeading">
    <w:name w:val="Table Heading"/>
    <w:basedOn w:val="HeadingBase"/>
    <w:rsid w:val="00BD0DF6"/>
    <w:pPr>
      <w:keepLines/>
      <w:pBdr>
        <w:bottom w:val="single" w:sz="6" w:space="1" w:color="918585"/>
      </w:pBdr>
      <w:spacing w:before="240"/>
    </w:pPr>
  </w:style>
  <w:style w:type="character" w:customStyle="1" w:styleId="HotSpot">
    <w:name w:val="HotSpot"/>
    <w:rsid w:val="00BD0DF6"/>
    <w:rPr>
      <w:color w:val="0033CC"/>
      <w:u w:val="none"/>
    </w:rPr>
  </w:style>
  <w:style w:type="paragraph" w:customStyle="1" w:styleId="BodyTextRight">
    <w:name w:val="Body Text Right"/>
    <w:basedOn w:val="BodyText"/>
    <w:rsid w:val="00BD0DF6"/>
    <w:pPr>
      <w:spacing w:before="0" w:after="0"/>
      <w:jc w:val="right"/>
    </w:pPr>
  </w:style>
  <w:style w:type="paragraph" w:styleId="Index3">
    <w:name w:val="index 3"/>
    <w:basedOn w:val="ListNumber2"/>
    <w:next w:val="Normal"/>
    <w:semiHidden/>
    <w:rsid w:val="00BD0DF6"/>
    <w:pPr>
      <w:numPr>
        <w:numId w:val="0"/>
      </w:numPr>
      <w:tabs>
        <w:tab w:val="right" w:leader="dot" w:pos="4176"/>
      </w:tabs>
    </w:pPr>
  </w:style>
  <w:style w:type="paragraph" w:styleId="ListNumber2">
    <w:name w:val="List Number 2"/>
    <w:basedOn w:val="List2"/>
    <w:rsid w:val="00BD0DF6"/>
    <w:pPr>
      <w:numPr>
        <w:numId w:val="10"/>
      </w:numPr>
      <w:tabs>
        <w:tab w:val="clear" w:pos="1060"/>
      </w:tabs>
    </w:pPr>
  </w:style>
  <w:style w:type="paragraph" w:customStyle="1" w:styleId="MarginNote">
    <w:name w:val="Margin Note"/>
    <w:basedOn w:val="BodyText"/>
    <w:rsid w:val="00BD0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DF6"/>
    <w:rPr>
      <w:sz w:val="32"/>
    </w:rPr>
  </w:style>
  <w:style w:type="paragraph" w:customStyle="1" w:styleId="HeadingProcedure">
    <w:name w:val="Heading Procedure"/>
    <w:basedOn w:val="HeadingBase"/>
    <w:next w:val="Normal"/>
    <w:rsid w:val="00BD0DF6"/>
    <w:pPr>
      <w:tabs>
        <w:tab w:val="left" w:pos="0"/>
      </w:tabs>
      <w:spacing w:before="120" w:after="60"/>
    </w:pPr>
    <w:rPr>
      <w:i/>
      <w:color w:val="918585"/>
      <w:sz w:val="22"/>
    </w:rPr>
  </w:style>
  <w:style w:type="paragraph" w:customStyle="1" w:styleId="TableBodyText">
    <w:name w:val="Table Body Text"/>
    <w:basedOn w:val="BodyText"/>
    <w:rsid w:val="00BD0DF6"/>
    <w:pPr>
      <w:spacing w:before="60" w:after="60"/>
    </w:pPr>
  </w:style>
  <w:style w:type="paragraph" w:styleId="ListContinue">
    <w:name w:val="List Continue"/>
    <w:basedOn w:val="List"/>
    <w:rsid w:val="00BD0DF6"/>
    <w:pPr>
      <w:ind w:firstLine="0"/>
    </w:pPr>
  </w:style>
  <w:style w:type="paragraph" w:customStyle="1" w:styleId="ListNote">
    <w:name w:val="List Note"/>
    <w:basedOn w:val="List"/>
    <w:rsid w:val="00BD0DF6"/>
    <w:pPr>
      <w:pBdr>
        <w:top w:val="single" w:sz="6" w:space="2" w:color="918585"/>
        <w:bottom w:val="single" w:sz="6" w:space="2" w:color="918585"/>
      </w:pBdr>
      <w:tabs>
        <w:tab w:val="left" w:pos="1021"/>
      </w:tabs>
      <w:ind w:firstLine="0"/>
    </w:pPr>
  </w:style>
  <w:style w:type="paragraph" w:customStyle="1" w:styleId="Warning">
    <w:name w:val="Warning"/>
    <w:basedOn w:val="BodyText"/>
    <w:rsid w:val="00BD0DF6"/>
    <w:pPr>
      <w:shd w:val="clear" w:color="auto" w:fill="D9D9D9"/>
      <w:tabs>
        <w:tab w:val="left" w:pos="992"/>
      </w:tabs>
      <w:ind w:left="119" w:right="119"/>
    </w:pPr>
    <w:rPr>
      <w:sz w:val="20"/>
    </w:rPr>
  </w:style>
  <w:style w:type="paragraph" w:customStyle="1" w:styleId="MarginIcons">
    <w:name w:val="Margin Icons"/>
    <w:basedOn w:val="BodyText"/>
    <w:rsid w:val="00BD0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DF6"/>
    <w:rPr>
      <w:rFonts w:ascii="Courier New" w:hAnsi="Courier New"/>
    </w:rPr>
  </w:style>
  <w:style w:type="paragraph" w:customStyle="1" w:styleId="NoteBullet">
    <w:name w:val="Note Bullet"/>
    <w:basedOn w:val="Note"/>
    <w:rsid w:val="00BD0DF6"/>
    <w:pPr>
      <w:tabs>
        <w:tab w:val="clear" w:pos="680"/>
      </w:tabs>
      <w:spacing w:before="60" w:after="60"/>
    </w:pPr>
  </w:style>
  <w:style w:type="paragraph" w:customStyle="1" w:styleId="SubHeading2">
    <w:name w:val="SubHeading2"/>
    <w:basedOn w:val="HeadingBase"/>
    <w:rsid w:val="00BD0DF6"/>
    <w:pPr>
      <w:spacing w:before="240" w:after="60"/>
    </w:pPr>
    <w:rPr>
      <w:sz w:val="20"/>
    </w:rPr>
  </w:style>
  <w:style w:type="paragraph" w:customStyle="1" w:styleId="SubHeading1">
    <w:name w:val="SubHeading1"/>
    <w:basedOn w:val="HeadingBase"/>
    <w:rsid w:val="00BD0DF6"/>
    <w:pPr>
      <w:spacing w:before="240" w:after="60"/>
    </w:pPr>
    <w:rPr>
      <w:color w:val="918585"/>
      <w:sz w:val="22"/>
    </w:rPr>
  </w:style>
  <w:style w:type="paragraph" w:customStyle="1" w:styleId="SideHeading">
    <w:name w:val="Side Heading"/>
    <w:basedOn w:val="HeadingBase"/>
    <w:rsid w:val="00BD0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DF6"/>
    <w:pPr>
      <w:tabs>
        <w:tab w:val="num" w:pos="360"/>
      </w:tabs>
    </w:pPr>
  </w:style>
  <w:style w:type="paragraph" w:styleId="PlainText">
    <w:name w:val="Plain Text"/>
    <w:basedOn w:val="Normal"/>
    <w:link w:val="PlainTextChar"/>
    <w:rsid w:val="00BD0DF6"/>
    <w:rPr>
      <w:sz w:val="20"/>
    </w:rPr>
  </w:style>
  <w:style w:type="character" w:customStyle="1" w:styleId="PlainTextChar">
    <w:name w:val="Plain Text Char"/>
    <w:basedOn w:val="DefaultParagraphFont"/>
    <w:link w:val="PlainText"/>
    <w:rsid w:val="00BD0DF6"/>
    <w:rPr>
      <w:rFonts w:ascii="Courier New" w:eastAsia="Times New Roman" w:hAnsi="Courier New" w:cs="Times New Roman"/>
      <w:sz w:val="20"/>
      <w:szCs w:val="20"/>
      <w:lang w:eastAsia="en-US"/>
    </w:rPr>
  </w:style>
  <w:style w:type="character" w:customStyle="1" w:styleId="MenuOption">
    <w:name w:val="Menu Option"/>
    <w:basedOn w:val="DefaultParagraphFont"/>
    <w:rsid w:val="00BD0DF6"/>
    <w:rPr>
      <w:b/>
      <w:smallCaps/>
    </w:rPr>
  </w:style>
  <w:style w:type="paragraph" w:customStyle="1" w:styleId="TableListNumber">
    <w:name w:val="Table List Number"/>
    <w:basedOn w:val="ListNumber"/>
    <w:rsid w:val="00BD0DF6"/>
    <w:pPr>
      <w:numPr>
        <w:numId w:val="0"/>
      </w:numPr>
    </w:pPr>
  </w:style>
  <w:style w:type="paragraph" w:styleId="TOC4">
    <w:name w:val="toc 4"/>
    <w:basedOn w:val="TOCBase"/>
    <w:next w:val="Normal"/>
    <w:semiHidden/>
    <w:rsid w:val="00BD0DF6"/>
    <w:pPr>
      <w:tabs>
        <w:tab w:val="right" w:leader="dot" w:pos="9071"/>
      </w:tabs>
      <w:ind w:left="1701"/>
    </w:pPr>
  </w:style>
  <w:style w:type="paragraph" w:customStyle="1" w:styleId="ListAlpha">
    <w:name w:val="List Alpha"/>
    <w:basedOn w:val="List"/>
    <w:rsid w:val="00BD0DF6"/>
    <w:pPr>
      <w:numPr>
        <w:numId w:val="9"/>
      </w:numPr>
    </w:pPr>
  </w:style>
  <w:style w:type="paragraph" w:customStyle="1" w:styleId="ListAlpha2">
    <w:name w:val="List Alpha 2"/>
    <w:basedOn w:val="List2"/>
    <w:rsid w:val="00BD0DF6"/>
    <w:pPr>
      <w:numPr>
        <w:numId w:val="8"/>
      </w:numPr>
    </w:pPr>
  </w:style>
  <w:style w:type="paragraph" w:styleId="List2">
    <w:name w:val="List 2"/>
    <w:basedOn w:val="BodyText"/>
    <w:rsid w:val="00BD0DF6"/>
    <w:pPr>
      <w:tabs>
        <w:tab w:val="left" w:pos="680"/>
      </w:tabs>
      <w:spacing w:before="60" w:after="60"/>
      <w:ind w:left="680" w:hanging="340"/>
    </w:pPr>
  </w:style>
  <w:style w:type="paragraph" w:styleId="List3">
    <w:name w:val="List 3"/>
    <w:basedOn w:val="BodyText"/>
    <w:rsid w:val="00BD0DF6"/>
    <w:pPr>
      <w:tabs>
        <w:tab w:val="left" w:pos="1021"/>
      </w:tabs>
      <w:spacing w:before="60" w:after="60"/>
      <w:ind w:left="1020" w:hanging="340"/>
    </w:pPr>
  </w:style>
  <w:style w:type="paragraph" w:styleId="List4">
    <w:name w:val="List 4"/>
    <w:basedOn w:val="BodyText"/>
    <w:rsid w:val="00BD0DF6"/>
    <w:pPr>
      <w:tabs>
        <w:tab w:val="left" w:pos="1361"/>
      </w:tabs>
      <w:spacing w:before="60" w:after="60"/>
      <w:ind w:left="1361" w:hanging="340"/>
    </w:pPr>
  </w:style>
  <w:style w:type="paragraph" w:styleId="List5">
    <w:name w:val="List 5"/>
    <w:basedOn w:val="BodyText"/>
    <w:rsid w:val="00BD0DF6"/>
    <w:pPr>
      <w:tabs>
        <w:tab w:val="left" w:pos="1701"/>
      </w:tabs>
      <w:spacing w:before="60" w:after="60"/>
      <w:ind w:left="1701" w:hanging="340"/>
    </w:pPr>
  </w:style>
  <w:style w:type="paragraph" w:styleId="ListBullet3">
    <w:name w:val="List Bullet 3"/>
    <w:basedOn w:val="List3"/>
    <w:rsid w:val="00BD0DF6"/>
    <w:pPr>
      <w:numPr>
        <w:numId w:val="14"/>
      </w:numPr>
      <w:tabs>
        <w:tab w:val="clear" w:pos="1021"/>
      </w:tabs>
      <w:ind w:left="1037" w:hanging="357"/>
    </w:pPr>
  </w:style>
  <w:style w:type="paragraph" w:styleId="ListBullet4">
    <w:name w:val="List Bullet 4"/>
    <w:basedOn w:val="List4"/>
    <w:rsid w:val="00BD0DF6"/>
    <w:pPr>
      <w:numPr>
        <w:numId w:val="3"/>
      </w:numPr>
      <w:tabs>
        <w:tab w:val="clear" w:pos="1361"/>
      </w:tabs>
    </w:pPr>
  </w:style>
  <w:style w:type="paragraph" w:styleId="ListBullet5">
    <w:name w:val="List Bullet 5"/>
    <w:basedOn w:val="List5"/>
    <w:rsid w:val="00BD0DF6"/>
    <w:pPr>
      <w:numPr>
        <w:numId w:val="4"/>
      </w:numPr>
    </w:pPr>
  </w:style>
  <w:style w:type="paragraph" w:styleId="ListContinue2">
    <w:name w:val="List Continue 2"/>
    <w:basedOn w:val="List2"/>
    <w:rsid w:val="00BD0DF6"/>
    <w:pPr>
      <w:ind w:firstLine="0"/>
    </w:pPr>
  </w:style>
  <w:style w:type="paragraph" w:styleId="ListContinue3">
    <w:name w:val="List Continue 3"/>
    <w:basedOn w:val="List3"/>
    <w:rsid w:val="00BD0DF6"/>
    <w:pPr>
      <w:ind w:left="1021" w:firstLine="0"/>
    </w:pPr>
  </w:style>
  <w:style w:type="paragraph" w:styleId="ListContinue4">
    <w:name w:val="List Continue 4"/>
    <w:basedOn w:val="List4"/>
    <w:rsid w:val="00BD0DF6"/>
    <w:pPr>
      <w:ind w:firstLine="0"/>
    </w:pPr>
  </w:style>
  <w:style w:type="paragraph" w:styleId="ListContinue5">
    <w:name w:val="List Continue 5"/>
    <w:basedOn w:val="List5"/>
    <w:rsid w:val="00BD0DF6"/>
    <w:pPr>
      <w:ind w:firstLine="0"/>
    </w:pPr>
  </w:style>
  <w:style w:type="paragraph" w:styleId="ListNumber3">
    <w:name w:val="List Number 3"/>
    <w:basedOn w:val="List3"/>
    <w:rsid w:val="00BD0DF6"/>
    <w:pPr>
      <w:numPr>
        <w:numId w:val="5"/>
      </w:numPr>
    </w:pPr>
  </w:style>
  <w:style w:type="paragraph" w:styleId="ListNumber4">
    <w:name w:val="List Number 4"/>
    <w:basedOn w:val="List4"/>
    <w:rsid w:val="00BD0DF6"/>
    <w:pPr>
      <w:numPr>
        <w:numId w:val="6"/>
      </w:numPr>
    </w:pPr>
  </w:style>
  <w:style w:type="paragraph" w:styleId="ListNumber5">
    <w:name w:val="List Number 5"/>
    <w:basedOn w:val="List5"/>
    <w:rsid w:val="00BD0DF6"/>
    <w:pPr>
      <w:numPr>
        <w:numId w:val="7"/>
      </w:numPr>
    </w:pPr>
  </w:style>
  <w:style w:type="paragraph" w:styleId="BlockText">
    <w:name w:val="Block Text"/>
    <w:basedOn w:val="Normal"/>
    <w:rsid w:val="00BD0DF6"/>
    <w:pPr>
      <w:spacing w:after="120"/>
      <w:ind w:left="1440" w:right="1440"/>
    </w:pPr>
  </w:style>
  <w:style w:type="character" w:customStyle="1" w:styleId="Subscript">
    <w:name w:val="Subscript"/>
    <w:basedOn w:val="DefaultParagraphFont"/>
    <w:rsid w:val="00BD0DF6"/>
    <w:rPr>
      <w:sz w:val="16"/>
      <w:vertAlign w:val="subscript"/>
    </w:rPr>
  </w:style>
  <w:style w:type="character" w:customStyle="1" w:styleId="Superscript">
    <w:name w:val="Superscript"/>
    <w:basedOn w:val="DefaultParagraphFont"/>
    <w:rsid w:val="00BD0DF6"/>
    <w:rPr>
      <w:sz w:val="16"/>
      <w:vertAlign w:val="superscript"/>
    </w:rPr>
  </w:style>
  <w:style w:type="character" w:customStyle="1" w:styleId="Symbols">
    <w:name w:val="Symbols"/>
    <w:basedOn w:val="DefaultParagraphFont"/>
    <w:rsid w:val="00BD0DF6"/>
    <w:rPr>
      <w:rFonts w:ascii="Symbol" w:hAnsi="Symbol"/>
    </w:rPr>
  </w:style>
  <w:style w:type="character" w:customStyle="1" w:styleId="MenuOptions">
    <w:name w:val="Menu Options"/>
    <w:basedOn w:val="DefaultParagraphFont"/>
    <w:rsid w:val="00BD0DF6"/>
    <w:rPr>
      <w:rFonts w:ascii="Arial Narrow" w:hAnsi="Arial Narrow"/>
      <w:smallCaps/>
    </w:rPr>
  </w:style>
  <w:style w:type="character" w:customStyle="1" w:styleId="Buttons">
    <w:name w:val="Buttons"/>
    <w:basedOn w:val="DefaultParagraphFont"/>
    <w:rsid w:val="00BD0DF6"/>
    <w:rPr>
      <w:b/>
    </w:rPr>
  </w:style>
  <w:style w:type="character" w:customStyle="1" w:styleId="Underlined">
    <w:name w:val="Underlined"/>
    <w:basedOn w:val="DefaultParagraphFont"/>
    <w:rsid w:val="00BD0DF6"/>
    <w:rPr>
      <w:u w:val="single"/>
    </w:rPr>
  </w:style>
  <w:style w:type="paragraph" w:customStyle="1" w:styleId="TableBodyTextRight">
    <w:name w:val="Table Body Text Right"/>
    <w:basedOn w:val="TableBodyText"/>
    <w:rsid w:val="00BD0DF6"/>
    <w:pPr>
      <w:widowControl w:val="0"/>
      <w:autoSpaceDE w:val="0"/>
      <w:autoSpaceDN w:val="0"/>
      <w:adjustRightInd w:val="0"/>
      <w:jc w:val="right"/>
    </w:pPr>
    <w:rPr>
      <w:rFonts w:cs="Arial"/>
      <w:szCs w:val="18"/>
    </w:rPr>
  </w:style>
  <w:style w:type="paragraph" w:customStyle="1" w:styleId="CopyrightText">
    <w:name w:val="Copyright Text"/>
    <w:basedOn w:val="BodyText"/>
    <w:rsid w:val="00BD0DF6"/>
    <w:rPr>
      <w:sz w:val="18"/>
    </w:rPr>
  </w:style>
  <w:style w:type="paragraph" w:customStyle="1" w:styleId="BodySmallRight">
    <w:name w:val="Body Small Right"/>
    <w:basedOn w:val="BodyTextRight"/>
    <w:rsid w:val="00BD0DF6"/>
    <w:rPr>
      <w:sz w:val="18"/>
      <w:szCs w:val="18"/>
    </w:rPr>
  </w:style>
  <w:style w:type="paragraph" w:customStyle="1" w:styleId="MarginEdition">
    <w:name w:val="Margin Edition"/>
    <w:basedOn w:val="MarginNote"/>
    <w:rsid w:val="00BD0DF6"/>
    <w:pPr>
      <w:spacing w:before="0" w:after="0"/>
    </w:pPr>
    <w:rPr>
      <w:rFonts w:ascii="Times New Roman" w:hAnsi="Times New Roman"/>
      <w:color w:val="999999"/>
    </w:rPr>
  </w:style>
  <w:style w:type="paragraph" w:customStyle="1" w:styleId="Spacer">
    <w:name w:val="Spacer"/>
    <w:basedOn w:val="Normal"/>
    <w:rsid w:val="00BD0DF6"/>
    <w:rPr>
      <w:sz w:val="2"/>
      <w:szCs w:val="2"/>
    </w:rPr>
  </w:style>
  <w:style w:type="character" w:customStyle="1" w:styleId="Small">
    <w:name w:val="Small"/>
    <w:basedOn w:val="DefaultParagraphFont"/>
    <w:rsid w:val="00BD0DF6"/>
    <w:rPr>
      <w:sz w:val="16"/>
    </w:rPr>
  </w:style>
  <w:style w:type="paragraph" w:customStyle="1" w:styleId="WideTable">
    <w:name w:val="Wide Table"/>
    <w:basedOn w:val="Normal"/>
    <w:rsid w:val="00BD0DF6"/>
    <w:pPr>
      <w:ind w:left="-1418"/>
    </w:pPr>
    <w:rPr>
      <w:sz w:val="2"/>
      <w:szCs w:val="2"/>
    </w:rPr>
  </w:style>
  <w:style w:type="character" w:styleId="PageNumber">
    <w:name w:val="page number"/>
    <w:basedOn w:val="DefaultParagraphFont"/>
    <w:rsid w:val="00BD0DF6"/>
  </w:style>
  <w:style w:type="paragraph" w:styleId="Quote">
    <w:name w:val="Quote"/>
    <w:basedOn w:val="Heading1"/>
    <w:link w:val="QuoteChar"/>
    <w:qFormat/>
    <w:rsid w:val="00BD0DF6"/>
    <w:rPr>
      <w:b w:val="0"/>
      <w:sz w:val="72"/>
      <w:szCs w:val="72"/>
      <w:lang w:val="en-NZ"/>
    </w:rPr>
  </w:style>
  <w:style w:type="character" w:customStyle="1" w:styleId="QuoteChar">
    <w:name w:val="Quote Char"/>
    <w:basedOn w:val="DefaultParagraphFont"/>
    <w:link w:val="Quote"/>
    <w:rsid w:val="00BD0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DF6"/>
    <w:pPr>
      <w:pageBreakBefore/>
    </w:pPr>
  </w:style>
  <w:style w:type="paragraph" w:customStyle="1" w:styleId="Border">
    <w:name w:val="Border"/>
    <w:basedOn w:val="Normal"/>
    <w:qFormat/>
    <w:rsid w:val="00BD0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DF6"/>
    <w:rPr>
      <w:b/>
      <w:bCs/>
      <w:i/>
      <w:iCs/>
      <w:color w:val="auto"/>
    </w:rPr>
  </w:style>
  <w:style w:type="paragraph" w:styleId="IntenseQuote">
    <w:name w:val="Intense Quote"/>
    <w:basedOn w:val="Normal"/>
    <w:next w:val="Normal"/>
    <w:link w:val="IntenseQuoteChar"/>
    <w:uiPriority w:val="30"/>
    <w:qFormat/>
    <w:rsid w:val="00BD0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DF6"/>
    <w:rPr>
      <w:smallCaps/>
      <w:color w:val="auto"/>
      <w:u w:val="single"/>
    </w:rPr>
  </w:style>
  <w:style w:type="character" w:styleId="IntenseReference">
    <w:name w:val="Intense Reference"/>
    <w:basedOn w:val="DefaultParagraphFont"/>
    <w:uiPriority w:val="32"/>
    <w:qFormat/>
    <w:rsid w:val="00BD0DF6"/>
    <w:rPr>
      <w:b/>
      <w:bCs/>
      <w:smallCaps/>
      <w:color w:val="auto"/>
      <w:spacing w:val="5"/>
      <w:u w:val="single"/>
    </w:rPr>
  </w:style>
  <w:style w:type="paragraph" w:customStyle="1" w:styleId="2ColumnHeading">
    <w:name w:val="2Column Heading"/>
    <w:basedOn w:val="BodyText"/>
    <w:qFormat/>
    <w:rsid w:val="00BD0DF6"/>
    <w:pPr>
      <w:spacing w:after="60"/>
      <w:ind w:left="-2268"/>
    </w:pPr>
    <w:rPr>
      <w:b/>
    </w:rPr>
  </w:style>
  <w:style w:type="paragraph" w:customStyle="1" w:styleId="Heading1TOC">
    <w:name w:val="Heading1 TOC"/>
    <w:basedOn w:val="Normal"/>
    <w:qFormat/>
    <w:rsid w:val="00BD0DF6"/>
    <w:pPr>
      <w:spacing w:before="240" w:after="120"/>
    </w:pPr>
    <w:rPr>
      <w:rFonts w:ascii="Times New Roman" w:hAnsi="Times New Roman"/>
      <w:b/>
      <w:sz w:val="32"/>
    </w:rPr>
  </w:style>
  <w:style w:type="paragraph" w:customStyle="1" w:styleId="Heading2TOC">
    <w:name w:val="Heading2 TOC"/>
    <w:basedOn w:val="Normal"/>
    <w:qFormat/>
    <w:rsid w:val="00BD0DF6"/>
    <w:pPr>
      <w:spacing w:before="240" w:after="60"/>
    </w:pPr>
    <w:rPr>
      <w:rFonts w:ascii="Times New Roman" w:hAnsi="Times New Roman"/>
      <w:b/>
      <w:sz w:val="28"/>
    </w:rPr>
  </w:style>
  <w:style w:type="character" w:customStyle="1" w:styleId="Underline">
    <w:name w:val="Underline"/>
    <w:basedOn w:val="DefaultParagraphFont"/>
    <w:qFormat/>
    <w:rsid w:val="00BD0DF6"/>
    <w:rPr>
      <w:u w:val="single"/>
    </w:rPr>
  </w:style>
  <w:style w:type="paragraph" w:styleId="BalloonText">
    <w:name w:val="Balloon Text"/>
    <w:basedOn w:val="Normal"/>
    <w:link w:val="BalloonTextChar"/>
    <w:rsid w:val="00BD0DF6"/>
    <w:rPr>
      <w:rFonts w:ascii="Tahoma" w:hAnsi="Tahoma" w:cs="Tahoma"/>
      <w:sz w:val="16"/>
      <w:szCs w:val="16"/>
    </w:rPr>
  </w:style>
  <w:style w:type="character" w:customStyle="1" w:styleId="BalloonTextChar">
    <w:name w:val="Balloon Text Char"/>
    <w:basedOn w:val="DefaultParagraphFont"/>
    <w:link w:val="BalloonText"/>
    <w:rsid w:val="00BD0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D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DF6"/>
    <w:rPr>
      <w:b/>
      <w:color w:val="660033"/>
      <w:spacing w:val="0"/>
    </w:rPr>
  </w:style>
  <w:style w:type="paragraph" w:customStyle="1" w:styleId="Nameditemlist">
    <w:name w:val="Named item list"/>
    <w:basedOn w:val="BodyText"/>
    <w:qFormat/>
    <w:rsid w:val="00BD0DF6"/>
    <w:pPr>
      <w:tabs>
        <w:tab w:val="left" w:pos="2835"/>
      </w:tabs>
      <w:ind w:left="2835" w:hanging="2835"/>
    </w:pPr>
  </w:style>
  <w:style w:type="paragraph" w:customStyle="1" w:styleId="BodyTextnopadding">
    <w:name w:val="Body Text no padding"/>
    <w:basedOn w:val="BodyText"/>
    <w:qFormat/>
    <w:rsid w:val="00BD0DF6"/>
    <w:pPr>
      <w:spacing w:before="0" w:after="0"/>
    </w:pPr>
  </w:style>
  <w:style w:type="paragraph" w:customStyle="1" w:styleId="BodyTextBold">
    <w:name w:val="Body Text Bold"/>
    <w:basedOn w:val="BodyText"/>
    <w:qFormat/>
    <w:rsid w:val="00BD0DF6"/>
    <w:rPr>
      <w:b/>
    </w:rPr>
  </w:style>
  <w:style w:type="character" w:styleId="Hyperlink">
    <w:name w:val="Hyperlink"/>
    <w:basedOn w:val="DefaultParagraphFont"/>
    <w:uiPriority w:val="99"/>
    <w:unhideWhenUsed/>
    <w:rsid w:val="00C77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4202</Characters>
  <Application>Microsoft Office Word</Application>
  <DocSecurity>0</DocSecurity>
  <Lines>200</Lines>
  <Paragraphs>112</Paragraphs>
  <ScaleCrop>false</ScaleCrop>
  <Company>Author-it Software Corporation Ltd.</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CPCCSG3009 Screen-print signs</dc:title>
  <dc:subject>Approved</dc:subject>
  <dc:creator>BuildSkills Australia</dc:creator>
  <cp:keywords>Release: 1</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