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A24" w:rsidP="00D54A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CPCCSG3009 Screen-print signs</w:t>
      </w:r>
      <w:r>
        <w:fldChar w:fldCharType="end"/>
      </w:r>
    </w:p>
    <w:p w:rsidR="00D54A24" w:rsidP="00D54A24">
      <w:pPr>
        <w:pStyle w:val="Version"/>
        <w:sectPr w:rsidSect="00727D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D63" w:rsidP="00727D63">
      <w:pPr>
        <w:pStyle w:val="SuperHeading"/>
      </w:pPr>
      <w:r w:rsidRPr="00727D63">
        <w:t>Assessment Requirements for CPCCSG3009 Screen-print signs</w:t>
      </w:r>
    </w:p>
    <w:p w:rsidR="00000000" w:rsidRPr="00727D63" w:rsidP="00727D63">
      <w:pPr>
        <w:pStyle w:val="Heading1"/>
      </w:pPr>
      <w:bookmarkStart w:id="1" w:name="O_832172"/>
      <w:bookmarkEnd w:id="1"/>
      <w:r w:rsidRPr="00727D63">
        <w:t>Modification History</w:t>
      </w:r>
    </w:p>
    <w:p w:rsidR="00000000" w:rsidRPr="00727D63" w:rsidP="00D54A24">
      <w:pPr>
        <w:pStyle w:val="BodyText"/>
      </w:pPr>
      <w:r w:rsidRPr="00727D63">
        <w:t>Release 1.</w:t>
      </w:r>
    </w:p>
    <w:p w:rsidR="00000000" w:rsidRPr="00727D63" w:rsidP="00D54A24">
      <w:pPr>
        <w:pStyle w:val="BodyText"/>
      </w:pPr>
      <w:r w:rsidRPr="00727D63">
        <w:t>This version first released with CPC Construction, Plumbing and Services Training Package Version 2.</w:t>
      </w:r>
    </w:p>
    <w:p w:rsidR="00000000" w:rsidRPr="00727D63" w:rsidP="00D54A24">
      <w:pPr>
        <w:pStyle w:val="BodyText"/>
      </w:pPr>
      <w:r w:rsidRPr="00727D63">
        <w:t>Revised unit of competency. Replaces superseded equivalent CPCCSI3009A Screen-print signage.</w:t>
      </w:r>
    </w:p>
    <w:p w:rsidR="00000000" w:rsidRPr="00727D63" w:rsidP="00727D63">
      <w:pPr>
        <w:pStyle w:val="Heading1"/>
      </w:pPr>
      <w:bookmarkStart w:id="2" w:name="O_832175"/>
      <w:bookmarkEnd w:id="2"/>
      <w:r w:rsidRPr="00727D63">
        <w:t>Performance Evidence</w:t>
      </w:r>
    </w:p>
    <w:p w:rsidR="00000000" w:rsidRPr="00727D63" w:rsidP="00D54A24">
      <w:pPr>
        <w:pStyle w:val="BodyText"/>
      </w:pPr>
      <w:r w:rsidRPr="00727D63">
        <w:t>A person demonstrating competency in this unit must satisfy all of the elements, performance criteria and foundation skills of this unit, and must screen-print three signs each consisting of letters and at least one graphic as fol</w:t>
      </w:r>
      <w:r w:rsidRPr="00727D63">
        <w:t>lows:</w:t>
      </w:r>
    </w:p>
    <w:p w:rsidR="00000000" w:rsidRPr="00727D63" w:rsidP="00727D63">
      <w:pPr>
        <w:pStyle w:val="ListBullet"/>
      </w:pPr>
      <w:r w:rsidRPr="00727D63">
        <w:t>one sign must be screen-printed to one of the following metals:</w:t>
      </w:r>
    </w:p>
    <w:p w:rsidR="00000000" w:rsidRPr="00727D63" w:rsidP="00727D63">
      <w:pPr>
        <w:pStyle w:val="ListBullet2"/>
      </w:pPr>
      <w:r w:rsidRPr="00727D63">
        <w:t>aluminium</w:t>
      </w:r>
    </w:p>
    <w:p w:rsidR="00000000" w:rsidRPr="00727D63" w:rsidP="00727D63">
      <w:pPr>
        <w:pStyle w:val="ListBullet2"/>
      </w:pPr>
      <w:r w:rsidRPr="00727D63">
        <w:t>stainless steel</w:t>
      </w:r>
    </w:p>
    <w:p w:rsidR="00000000" w:rsidRPr="00727D63" w:rsidP="00727D63">
      <w:pPr>
        <w:pStyle w:val="ListBullet"/>
      </w:pPr>
      <w:r w:rsidRPr="00727D63">
        <w:t>one sign must be screen-printed to one of the following fabrics:</w:t>
      </w:r>
    </w:p>
    <w:p w:rsidR="00000000" w:rsidRPr="00727D63" w:rsidP="00727D63">
      <w:pPr>
        <w:pStyle w:val="ListBullet2"/>
      </w:pPr>
      <w:r w:rsidRPr="00727D63">
        <w:t>cotton</w:t>
      </w:r>
    </w:p>
    <w:p w:rsidR="00000000" w:rsidRPr="00727D63" w:rsidP="00727D63">
      <w:pPr>
        <w:pStyle w:val="ListBullet2"/>
      </w:pPr>
      <w:r w:rsidRPr="00727D63">
        <w:t>gauze</w:t>
      </w:r>
    </w:p>
    <w:p w:rsidR="00000000" w:rsidRPr="00727D63" w:rsidP="00727D63">
      <w:pPr>
        <w:pStyle w:val="ListBullet2"/>
      </w:pPr>
      <w:r w:rsidRPr="00727D63">
        <w:t>polyester</w:t>
      </w:r>
    </w:p>
    <w:p w:rsidR="00000000" w:rsidRPr="00727D63" w:rsidP="00727D63">
      <w:pPr>
        <w:pStyle w:val="ListBullet2"/>
      </w:pPr>
      <w:r w:rsidRPr="00727D63">
        <w:t>silk</w:t>
      </w:r>
    </w:p>
    <w:p w:rsidR="00000000" w:rsidRPr="00727D63" w:rsidP="00727D63">
      <w:pPr>
        <w:pStyle w:val="ListBullet"/>
      </w:pPr>
      <w:r w:rsidRPr="00727D63">
        <w:t>one sign must be screen-printed to at least one of the following substrates:</w:t>
      </w:r>
    </w:p>
    <w:p w:rsidR="00000000" w:rsidRPr="00727D63" w:rsidP="00727D63">
      <w:pPr>
        <w:pStyle w:val="ListBullet2"/>
      </w:pPr>
      <w:r w:rsidRPr="00727D63">
        <w:t>glass</w:t>
      </w:r>
    </w:p>
    <w:p w:rsidR="00000000" w:rsidRPr="00727D63" w:rsidP="00727D63">
      <w:pPr>
        <w:pStyle w:val="ListBullet2"/>
      </w:pPr>
      <w:r w:rsidRPr="00727D63">
        <w:t>paper</w:t>
      </w:r>
    </w:p>
    <w:p w:rsidR="00000000" w:rsidRPr="00727D63" w:rsidP="00727D63">
      <w:pPr>
        <w:pStyle w:val="ListBullet2"/>
      </w:pPr>
      <w:r w:rsidRPr="00727D63">
        <w:t>plastic</w:t>
      </w:r>
    </w:p>
    <w:p w:rsidR="00000000" w:rsidRPr="00727D63" w:rsidP="00727D63">
      <w:pPr>
        <w:pStyle w:val="ListBullet2"/>
      </w:pPr>
      <w:r w:rsidRPr="00727D63">
        <w:t>wood.</w:t>
      </w:r>
    </w:p>
    <w:p w:rsidR="00000000" w:rsidRPr="00727D63" w:rsidP="00727D63">
      <w:pPr>
        <w:pStyle w:val="BodyText"/>
      </w:pPr>
    </w:p>
    <w:p w:rsidR="00000000" w:rsidRPr="00727D63" w:rsidP="00D54A24">
      <w:pPr>
        <w:pStyle w:val="BodyText"/>
      </w:pPr>
      <w:r w:rsidRPr="00727D63">
        <w:t>At least two of the above signs must measure at least 1 square metre.</w:t>
      </w:r>
    </w:p>
    <w:p w:rsidR="00000000" w:rsidRPr="00727D63" w:rsidP="00D54A24">
      <w:pPr>
        <w:pStyle w:val="BodyText"/>
      </w:pPr>
      <w:r w:rsidRPr="00727D63">
        <w:t>In doing the above work, the person must:</w:t>
      </w:r>
    </w:p>
    <w:p w:rsidR="00000000" w:rsidRPr="00727D63" w:rsidP="00727D63">
      <w:pPr>
        <w:pStyle w:val="ListBullet"/>
      </w:pPr>
      <w:r w:rsidRPr="00727D63">
        <w:t>reproduce a design and transfer design to material for screen-printing</w:t>
      </w:r>
    </w:p>
    <w:p w:rsidR="00000000" w:rsidRPr="00727D63" w:rsidP="00727D63">
      <w:pPr>
        <w:pStyle w:val="ListBullet"/>
      </w:pPr>
      <w:r w:rsidRPr="00727D63">
        <w:t>cut screen design to shape</w:t>
      </w:r>
    </w:p>
    <w:p w:rsidR="00D54A24" w:rsidP="00727D63">
      <w:pPr>
        <w:pStyle w:val="ListBullet"/>
      </w:pPr>
      <w:r w:rsidRPr="00727D63">
        <w:t>construct screen ready for printing as appropriate to the task.</w:t>
      </w:r>
    </w:p>
    <w:p w:rsidR="00D54A24" w:rsidP="00727D63">
      <w:pPr>
        <w:pStyle w:val="ListBullet"/>
      </w:pPr>
    </w:p>
    <w:p w:rsidR="00000000" w:rsidRPr="00727D63" w:rsidP="00727D63">
      <w:pPr>
        <w:pStyle w:val="Heading1"/>
      </w:pPr>
      <w:bookmarkStart w:id="3" w:name="O_832174"/>
      <w:bookmarkEnd w:id="3"/>
      <w:r w:rsidRPr="00727D63">
        <w:t>Knowledge Evidence</w:t>
      </w:r>
    </w:p>
    <w:p w:rsidR="00000000" w:rsidRPr="00727D63" w:rsidP="00D54A24">
      <w:pPr>
        <w:pStyle w:val="BodyText"/>
      </w:pPr>
      <w:r w:rsidRPr="00727D63">
        <w:t>A person demonstrating competency in this unit must demon</w:t>
      </w:r>
      <w:r w:rsidRPr="00727D63">
        <w:t>strate knowledge of:</w:t>
      </w:r>
    </w:p>
    <w:p w:rsidR="00000000" w:rsidRPr="00727D63" w:rsidP="00727D63">
      <w:pPr>
        <w:pStyle w:val="ListBullet"/>
      </w:pPr>
      <w:r w:rsidRPr="00727D63">
        <w:t>colour selection techniques and principles and their application in screen-printed signs</w:t>
      </w:r>
    </w:p>
    <w:p w:rsidR="00000000" w:rsidRPr="00727D63" w:rsidP="00727D63">
      <w:pPr>
        <w:pStyle w:val="ListBullet"/>
      </w:pPr>
      <w:r w:rsidRPr="00727D63">
        <w:t>methods for identifying dimensions, symbols, abbreviations and key features of signs from sign designs and drawings</w:t>
      </w:r>
    </w:p>
    <w:p w:rsidR="00000000" w:rsidRPr="00727D63" w:rsidP="00727D63">
      <w:pPr>
        <w:pStyle w:val="ListBullet"/>
      </w:pPr>
      <w:r w:rsidRPr="00727D63">
        <w:t>purpose and application of th</w:t>
      </w:r>
      <w:r w:rsidRPr="00727D63">
        <w:t>e following when screen-printing signs:</w:t>
      </w:r>
    </w:p>
    <w:p w:rsidR="00000000" w:rsidRPr="00727D63" w:rsidP="00727D63">
      <w:pPr>
        <w:pStyle w:val="ListBullet2"/>
      </w:pPr>
      <w:r w:rsidRPr="00727D63">
        <w:t>safety data sheets (SDS)</w:t>
      </w:r>
    </w:p>
    <w:p w:rsidR="00000000" w:rsidRPr="00727D63" w:rsidP="00727D63">
      <w:pPr>
        <w:pStyle w:val="ListBullet2"/>
      </w:pPr>
      <w:r w:rsidRPr="00727D63">
        <w:t>safe work method statements (SWMS)</w:t>
      </w:r>
    </w:p>
    <w:p w:rsidR="00000000" w:rsidRPr="00727D63" w:rsidP="00727D63">
      <w:pPr>
        <w:pStyle w:val="ListBullet"/>
      </w:pPr>
      <w:r w:rsidRPr="00727D63">
        <w:t>principles and techniques for the layout of signs</w:t>
      </w:r>
    </w:p>
    <w:p w:rsidR="00000000" w:rsidRPr="00727D63" w:rsidP="00727D63">
      <w:pPr>
        <w:pStyle w:val="ListBullet"/>
      </w:pPr>
      <w:r w:rsidRPr="00727D63">
        <w:t>relevant Australian standards:</w:t>
      </w:r>
    </w:p>
    <w:p w:rsidR="00000000" w:rsidRPr="00727D63" w:rsidP="00727D63">
      <w:pPr>
        <w:pStyle w:val="ListBullet2"/>
      </w:pPr>
      <w:r w:rsidRPr="00727D63">
        <w:t>AS 1319 Safety signs for the occupational environment</w:t>
      </w:r>
    </w:p>
    <w:p w:rsidR="00000000" w:rsidRPr="00727D63" w:rsidP="00727D63">
      <w:pPr>
        <w:pStyle w:val="ListBullet2"/>
      </w:pPr>
      <w:r w:rsidRPr="00727D63">
        <w:t>AS 2311 General workmanship – painting</w:t>
      </w:r>
    </w:p>
    <w:p w:rsidR="00000000" w:rsidRPr="00727D63" w:rsidP="00727D63">
      <w:pPr>
        <w:pStyle w:val="ListBullet2"/>
      </w:pPr>
      <w:r w:rsidRPr="00727D63">
        <w:t>AS 2700 Colour standards for general purposes</w:t>
      </w:r>
    </w:p>
    <w:p w:rsidR="00000000" w:rsidRPr="00727D63" w:rsidP="00727D63">
      <w:pPr>
        <w:pStyle w:val="ListBullet"/>
      </w:pPr>
      <w:r w:rsidRPr="00727D63">
        <w:t>statutory and regulatory authority requirements relating to the use of materials used in screen-printing signs, including:</w:t>
      </w:r>
    </w:p>
    <w:p w:rsidR="00000000" w:rsidRPr="00727D63" w:rsidP="00727D63">
      <w:pPr>
        <w:pStyle w:val="ListBullet2"/>
      </w:pPr>
      <w:r w:rsidRPr="00727D63">
        <w:t>removal of waste products</w:t>
      </w:r>
    </w:p>
    <w:p w:rsidR="00000000" w:rsidRPr="00727D63" w:rsidP="00727D63">
      <w:pPr>
        <w:pStyle w:val="ListBullet2"/>
      </w:pPr>
      <w:r w:rsidRPr="00727D63">
        <w:t>storage of chemicals</w:t>
      </w:r>
      <w:r w:rsidRPr="00727D63">
        <w:t xml:space="preserve"> and materials</w:t>
      </w:r>
    </w:p>
    <w:p w:rsidR="00000000" w:rsidRPr="00727D63" w:rsidP="00727D63">
      <w:pPr>
        <w:pStyle w:val="ListBullet"/>
      </w:pPr>
      <w:r w:rsidRPr="00727D63">
        <w:t>techniques for cutting designs for screens and screen-printing</w:t>
      </w:r>
    </w:p>
    <w:p w:rsidR="00000000" w:rsidRPr="00727D63" w:rsidP="00727D63">
      <w:pPr>
        <w:pStyle w:val="ListBullet"/>
      </w:pPr>
      <w:r w:rsidRPr="00727D63">
        <w:t>range of traditional and contemporary font styles for use in screen-printing signs</w:t>
      </w:r>
    </w:p>
    <w:p w:rsidR="00000000" w:rsidRPr="00727D63" w:rsidP="00727D63">
      <w:pPr>
        <w:pStyle w:val="ListBullet"/>
      </w:pPr>
      <w:r w:rsidRPr="00727D63">
        <w:t>terminology and use of abbreviations in screen-printing.</w:t>
      </w:r>
    </w:p>
    <w:p w:rsidR="00000000" w:rsidRPr="00727D63" w:rsidP="00727D63">
      <w:pPr>
        <w:pStyle w:val="AllowPageBreak"/>
      </w:pPr>
    </w:p>
    <w:p w:rsidR="00000000" w:rsidRPr="00727D63" w:rsidP="00727D63">
      <w:pPr>
        <w:pStyle w:val="Heading1"/>
      </w:pPr>
      <w:bookmarkStart w:id="4" w:name="O_832173"/>
      <w:bookmarkEnd w:id="4"/>
      <w:r w:rsidRPr="00727D63">
        <w:t>Assessment Conditions</w:t>
      </w:r>
    </w:p>
    <w:p w:rsidR="00000000" w:rsidRPr="00727D63" w:rsidP="00D54A24">
      <w:pPr>
        <w:pStyle w:val="BodyText"/>
      </w:pPr>
      <w:r w:rsidRPr="00727D63">
        <w:t xml:space="preserve">Suitable assessment of performance requires: </w:t>
      </w:r>
    </w:p>
    <w:p w:rsidR="00000000" w:rsidRPr="00727D63" w:rsidP="00727D63">
      <w:pPr>
        <w:pStyle w:val="ListBullet"/>
      </w:pPr>
      <w:r w:rsidRPr="00727D63">
        <w:t>equipment and tools:</w:t>
      </w:r>
    </w:p>
    <w:p w:rsidR="00000000" w:rsidRPr="00727D63" w:rsidP="00727D63">
      <w:pPr>
        <w:pStyle w:val="ListBullet2"/>
      </w:pPr>
      <w:r w:rsidRPr="00727D63">
        <w:t>as listed in the range of conditions</w:t>
      </w:r>
    </w:p>
    <w:p w:rsidR="00000000" w:rsidRPr="00727D63" w:rsidP="00727D63">
      <w:pPr>
        <w:pStyle w:val="ListBullet"/>
      </w:pPr>
      <w:r w:rsidRPr="00727D63">
        <w:t>materials:</w:t>
      </w:r>
    </w:p>
    <w:p w:rsidR="00000000" w:rsidRPr="00727D63" w:rsidP="00727D63">
      <w:pPr>
        <w:pStyle w:val="ListBullet2"/>
      </w:pPr>
      <w:r w:rsidRPr="00727D63">
        <w:t>block out</w:t>
      </w:r>
    </w:p>
    <w:p w:rsidR="00000000" w:rsidRPr="00727D63" w:rsidP="00727D63">
      <w:pPr>
        <w:pStyle w:val="ListBullet2"/>
      </w:pPr>
      <w:r w:rsidRPr="00727D63">
        <w:t>cardboard</w:t>
      </w:r>
    </w:p>
    <w:p w:rsidR="00000000" w:rsidRPr="00727D63" w:rsidP="00727D63">
      <w:pPr>
        <w:pStyle w:val="ListBullet2"/>
      </w:pPr>
      <w:r w:rsidRPr="00727D63">
        <w:t>masking tape</w:t>
      </w:r>
    </w:p>
    <w:p w:rsidR="00000000" w:rsidRPr="00727D63" w:rsidP="00727D63">
      <w:pPr>
        <w:pStyle w:val="ListBullet2"/>
      </w:pPr>
      <w:r w:rsidRPr="00727D63">
        <w:t>metal and fabric as specified in the performance evidence</w:t>
      </w:r>
    </w:p>
    <w:p w:rsidR="00000000" w:rsidRPr="00727D63" w:rsidP="00727D63">
      <w:pPr>
        <w:pStyle w:val="ListBullet2"/>
      </w:pPr>
      <w:r w:rsidRPr="00727D63">
        <w:t>screen frames</w:t>
      </w:r>
    </w:p>
    <w:p w:rsidR="00000000" w:rsidRPr="00727D63" w:rsidP="00727D63">
      <w:pPr>
        <w:pStyle w:val="ListBullet2"/>
      </w:pPr>
      <w:r w:rsidRPr="00727D63">
        <w:t>spray adhe</w:t>
      </w:r>
      <w:r w:rsidRPr="00727D63">
        <w:t>sive</w:t>
      </w:r>
    </w:p>
    <w:p w:rsidR="00000000" w:rsidRPr="00727D63" w:rsidP="00727D63">
      <w:pPr>
        <w:pStyle w:val="ListBullet2"/>
      </w:pPr>
      <w:r w:rsidRPr="00727D63">
        <w:t>stencil films</w:t>
      </w:r>
    </w:p>
    <w:p w:rsidR="00000000" w:rsidRPr="00727D63" w:rsidP="00727D63">
      <w:pPr>
        <w:pStyle w:val="ListBullet2"/>
      </w:pPr>
      <w:r w:rsidRPr="00727D63">
        <w:t>substrates as specified in the performance evidence</w:t>
      </w:r>
    </w:p>
    <w:p w:rsidR="00000000" w:rsidRPr="00727D63" w:rsidP="00727D63">
      <w:pPr>
        <w:pStyle w:val="ListBullet"/>
      </w:pPr>
      <w:r w:rsidRPr="00727D63">
        <w:t>specifications:</w:t>
      </w:r>
    </w:p>
    <w:p w:rsidR="00000000" w:rsidRPr="00727D63" w:rsidP="00727D63">
      <w:pPr>
        <w:pStyle w:val="ListBullet2"/>
      </w:pPr>
      <w:r w:rsidRPr="00727D63">
        <w:t>AS 1319 Safety signs for the occupational environment</w:t>
      </w:r>
    </w:p>
    <w:p w:rsidR="00000000" w:rsidRPr="00727D63" w:rsidP="00727D63">
      <w:pPr>
        <w:pStyle w:val="ListBullet2"/>
      </w:pPr>
      <w:r w:rsidRPr="00727D63">
        <w:t>AS 2311 General workmanship – painting</w:t>
      </w:r>
    </w:p>
    <w:p w:rsidR="00000000" w:rsidRPr="00727D63" w:rsidP="00727D63">
      <w:pPr>
        <w:pStyle w:val="ListBullet2"/>
      </w:pPr>
      <w:r w:rsidRPr="00727D63">
        <w:t>AS 2700 Colour standards for general purposes</w:t>
      </w:r>
    </w:p>
    <w:p w:rsidR="00000000" w:rsidRPr="00727D63" w:rsidP="00727D63">
      <w:pPr>
        <w:pStyle w:val="ListBullet"/>
      </w:pPr>
      <w:r w:rsidRPr="00727D63">
        <w:t>timeframe:</w:t>
      </w:r>
    </w:p>
    <w:p w:rsidR="00000000" w:rsidRPr="00727D63" w:rsidP="00727D63">
      <w:pPr>
        <w:pStyle w:val="ListBullet2"/>
      </w:pPr>
      <w:r w:rsidRPr="00727D63">
        <w:t>according to job requirements.</w:t>
      </w:r>
    </w:p>
    <w:p w:rsidR="00000000" w:rsidRPr="00727D63" w:rsidP="00727D63">
      <w:pPr>
        <w:pStyle w:val="BodyText"/>
      </w:pPr>
    </w:p>
    <w:p w:rsidR="00000000" w:rsidRPr="00727D63" w:rsidP="00D54A24">
      <w:pPr>
        <w:pStyle w:val="Heading3"/>
      </w:pPr>
      <w:r w:rsidRPr="00727D63">
        <w:rPr>
          <w:rStyle w:val="SpecialBold"/>
        </w:rPr>
        <w:t>Assessor requirements</w:t>
      </w:r>
    </w:p>
    <w:p w:rsidR="00000000" w:rsidRPr="00727D63" w:rsidP="00D54A24">
      <w:pPr>
        <w:pStyle w:val="BodyText"/>
      </w:pPr>
      <w:r w:rsidRPr="00727D63">
        <w:t xml:space="preserve">As a minimum, assessors must satisfy the assessor requirements in the Standards for Registered Training Organisations (RTOs) current at the time of assessment. </w:t>
      </w:r>
    </w:p>
    <w:p w:rsidR="00000000" w:rsidRPr="00727D63" w:rsidP="00727D63">
      <w:pPr>
        <w:pStyle w:val="Heading1"/>
      </w:pPr>
      <w:bookmarkStart w:id="5" w:name="O_832171"/>
      <w:bookmarkEnd w:id="5"/>
      <w:r w:rsidRPr="00727D63">
        <w:t>Links</w:t>
      </w:r>
    </w:p>
    <w:p w:rsidR="00000000" w:rsidRPr="00727D63" w:rsidP="00D54A24">
      <w:pPr>
        <w:pStyle w:val="BodyText"/>
      </w:pPr>
      <w:r w:rsidRPr="00727D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76E1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27D63" w:rsidP="00727D63"/>
    <w:sectPr w:rsidSect="00727D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D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D63" w:rsidRPr="00D54A24" w:rsidP="00D54A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D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A24" w:rsidP="00727D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4A24" w:rsidP="00727D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54A24" w:rsidP="00727D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D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A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D63" w:rsidRPr="00D54A24" w:rsidP="00D54A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D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A24" w:rsidRPr="002D2AF8" w:rsidP="00727D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CPCCSG3009 Screen-print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54A24" w:rsidP="00727D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9218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CAC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8E10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D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D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D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D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D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D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D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D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D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D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D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D63"/>
  </w:style>
  <w:style w:type="character" w:customStyle="1" w:styleId="Heading1Char">
    <w:name w:val="Heading 1 Char"/>
    <w:basedOn w:val="DefaultParagraphFont"/>
    <w:link w:val="Heading1"/>
    <w:rsid w:val="00727D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D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D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7D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7D63"/>
    <w:rPr>
      <w:b/>
      <w:spacing w:val="0"/>
    </w:rPr>
  </w:style>
  <w:style w:type="paragraph" w:styleId="ListBullet2">
    <w:name w:val="List Bullet 2"/>
    <w:basedOn w:val="List2"/>
    <w:rsid w:val="00727D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7D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D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D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D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D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D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D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D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D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D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D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D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D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D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D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D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7D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7D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7D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D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D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7D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D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D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D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D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D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D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D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D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7D63"/>
    <w:rPr>
      <w:i/>
    </w:rPr>
  </w:style>
  <w:style w:type="paragraph" w:styleId="Caption">
    <w:name w:val="caption"/>
    <w:basedOn w:val="BodyText"/>
    <w:next w:val="Normal"/>
    <w:qFormat/>
    <w:rsid w:val="00727D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D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D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D63"/>
  </w:style>
  <w:style w:type="paragraph" w:styleId="TableofFigures">
    <w:name w:val="table of figures"/>
    <w:basedOn w:val="Normal"/>
    <w:next w:val="Normal"/>
    <w:semiHidden/>
    <w:rsid w:val="00727D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D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7D63"/>
    <w:rPr>
      <w:rFonts w:ascii="Wingdings" w:hAnsi="Wingdings"/>
    </w:rPr>
  </w:style>
  <w:style w:type="paragraph" w:customStyle="1" w:styleId="TableHeading">
    <w:name w:val="Table Heading"/>
    <w:basedOn w:val="HeadingBase"/>
    <w:rsid w:val="00727D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D63"/>
    <w:rPr>
      <w:color w:val="0033CC"/>
      <w:u w:val="none"/>
    </w:rPr>
  </w:style>
  <w:style w:type="paragraph" w:customStyle="1" w:styleId="BodyTextRight">
    <w:name w:val="Body Text Right"/>
    <w:basedOn w:val="BodyText"/>
    <w:rsid w:val="00727D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D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D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D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D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D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D63"/>
    <w:rPr>
      <w:sz w:val="32"/>
    </w:rPr>
  </w:style>
  <w:style w:type="paragraph" w:customStyle="1" w:styleId="HeadingProcedure">
    <w:name w:val="Heading Procedure"/>
    <w:basedOn w:val="HeadingBase"/>
    <w:next w:val="Normal"/>
    <w:rsid w:val="00727D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D63"/>
    <w:pPr>
      <w:spacing w:before="60" w:after="60"/>
    </w:pPr>
  </w:style>
  <w:style w:type="paragraph" w:styleId="ListContinue">
    <w:name w:val="List Continue"/>
    <w:basedOn w:val="List"/>
    <w:rsid w:val="00727D63"/>
    <w:pPr>
      <w:ind w:firstLine="0"/>
    </w:pPr>
  </w:style>
  <w:style w:type="paragraph" w:customStyle="1" w:styleId="ListNote">
    <w:name w:val="List Note"/>
    <w:basedOn w:val="List"/>
    <w:rsid w:val="00727D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D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D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D63"/>
    <w:rPr>
      <w:rFonts w:ascii="Courier New" w:hAnsi="Courier New"/>
    </w:rPr>
  </w:style>
  <w:style w:type="paragraph" w:customStyle="1" w:styleId="NoteBullet">
    <w:name w:val="Note Bullet"/>
    <w:basedOn w:val="Note"/>
    <w:rsid w:val="00727D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D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D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D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D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7D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D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D63"/>
    <w:rPr>
      <w:b/>
      <w:smallCaps/>
    </w:rPr>
  </w:style>
  <w:style w:type="paragraph" w:customStyle="1" w:styleId="TableListNumber">
    <w:name w:val="Table List Number"/>
    <w:basedOn w:val="ListNumber"/>
    <w:rsid w:val="00727D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D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D63"/>
    <w:pPr>
      <w:numPr>
        <w:numId w:val="9"/>
      </w:numPr>
    </w:pPr>
  </w:style>
  <w:style w:type="paragraph" w:customStyle="1" w:styleId="ListAlpha2">
    <w:name w:val="List Alpha 2"/>
    <w:basedOn w:val="List2"/>
    <w:rsid w:val="00727D63"/>
    <w:pPr>
      <w:numPr>
        <w:numId w:val="8"/>
      </w:numPr>
    </w:pPr>
  </w:style>
  <w:style w:type="paragraph" w:styleId="List2">
    <w:name w:val="List 2"/>
    <w:basedOn w:val="BodyText"/>
    <w:rsid w:val="00727D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D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D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D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D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D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7D63"/>
    <w:pPr>
      <w:numPr>
        <w:numId w:val="4"/>
      </w:numPr>
    </w:pPr>
  </w:style>
  <w:style w:type="paragraph" w:styleId="ListContinue2">
    <w:name w:val="List Continue 2"/>
    <w:basedOn w:val="List2"/>
    <w:rsid w:val="00727D63"/>
    <w:pPr>
      <w:ind w:firstLine="0"/>
    </w:pPr>
  </w:style>
  <w:style w:type="paragraph" w:styleId="ListContinue3">
    <w:name w:val="List Continue 3"/>
    <w:basedOn w:val="List3"/>
    <w:rsid w:val="00727D63"/>
    <w:pPr>
      <w:ind w:left="1021" w:firstLine="0"/>
    </w:pPr>
  </w:style>
  <w:style w:type="paragraph" w:styleId="ListContinue4">
    <w:name w:val="List Continue 4"/>
    <w:basedOn w:val="List4"/>
    <w:rsid w:val="00727D63"/>
    <w:pPr>
      <w:ind w:firstLine="0"/>
    </w:pPr>
  </w:style>
  <w:style w:type="paragraph" w:styleId="ListContinue5">
    <w:name w:val="List Continue 5"/>
    <w:basedOn w:val="List5"/>
    <w:rsid w:val="00727D63"/>
    <w:pPr>
      <w:ind w:firstLine="0"/>
    </w:pPr>
  </w:style>
  <w:style w:type="paragraph" w:styleId="ListNumber3">
    <w:name w:val="List Number 3"/>
    <w:basedOn w:val="List3"/>
    <w:rsid w:val="00727D63"/>
    <w:pPr>
      <w:numPr>
        <w:numId w:val="5"/>
      </w:numPr>
    </w:pPr>
  </w:style>
  <w:style w:type="paragraph" w:styleId="ListNumber4">
    <w:name w:val="List Number 4"/>
    <w:basedOn w:val="List4"/>
    <w:rsid w:val="00727D63"/>
    <w:pPr>
      <w:numPr>
        <w:numId w:val="6"/>
      </w:numPr>
    </w:pPr>
  </w:style>
  <w:style w:type="paragraph" w:styleId="ListNumber5">
    <w:name w:val="List Number 5"/>
    <w:basedOn w:val="List5"/>
    <w:rsid w:val="00727D63"/>
    <w:pPr>
      <w:numPr>
        <w:numId w:val="7"/>
      </w:numPr>
    </w:pPr>
  </w:style>
  <w:style w:type="paragraph" w:styleId="BlockText">
    <w:name w:val="Block Text"/>
    <w:basedOn w:val="Normal"/>
    <w:rsid w:val="00727D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D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D63"/>
    <w:rPr>
      <w:sz w:val="16"/>
      <w:vertAlign w:val="superscript"/>
    </w:rPr>
  </w:style>
  <w:style w:type="character" w:customStyle="1" w:styleId="Symbols">
    <w:name w:val="Symbols"/>
    <w:basedOn w:val="DefaultParagraphFont"/>
    <w:rsid w:val="00727D63"/>
    <w:rPr>
      <w:rFonts w:ascii="Symbol" w:hAnsi="Symbol"/>
    </w:rPr>
  </w:style>
  <w:style w:type="character" w:customStyle="1" w:styleId="MenuOptions">
    <w:name w:val="Menu Options"/>
    <w:basedOn w:val="DefaultParagraphFont"/>
    <w:rsid w:val="00727D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D63"/>
    <w:rPr>
      <w:b/>
    </w:rPr>
  </w:style>
  <w:style w:type="character" w:customStyle="1" w:styleId="Underlined">
    <w:name w:val="Underlined"/>
    <w:basedOn w:val="DefaultParagraphFont"/>
    <w:rsid w:val="00727D63"/>
    <w:rPr>
      <w:u w:val="single"/>
    </w:rPr>
  </w:style>
  <w:style w:type="paragraph" w:customStyle="1" w:styleId="TableBodyTextRight">
    <w:name w:val="Table Body Text Right"/>
    <w:basedOn w:val="TableBodyText"/>
    <w:rsid w:val="00727D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D63"/>
    <w:rPr>
      <w:sz w:val="18"/>
    </w:rPr>
  </w:style>
  <w:style w:type="paragraph" w:customStyle="1" w:styleId="BodySmallRight">
    <w:name w:val="Body Small Right"/>
    <w:basedOn w:val="BodyTextRight"/>
    <w:rsid w:val="00727D63"/>
    <w:rPr>
      <w:sz w:val="18"/>
      <w:szCs w:val="18"/>
    </w:rPr>
  </w:style>
  <w:style w:type="paragraph" w:customStyle="1" w:styleId="MarginEdition">
    <w:name w:val="Margin Edition"/>
    <w:basedOn w:val="MarginNote"/>
    <w:rsid w:val="00727D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D63"/>
    <w:rPr>
      <w:sz w:val="2"/>
      <w:szCs w:val="2"/>
    </w:rPr>
  </w:style>
  <w:style w:type="character" w:customStyle="1" w:styleId="Small">
    <w:name w:val="Small"/>
    <w:basedOn w:val="DefaultParagraphFont"/>
    <w:rsid w:val="00727D63"/>
    <w:rPr>
      <w:sz w:val="16"/>
    </w:rPr>
  </w:style>
  <w:style w:type="paragraph" w:customStyle="1" w:styleId="WideTable">
    <w:name w:val="Wide Table"/>
    <w:basedOn w:val="Normal"/>
    <w:rsid w:val="00727D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D63"/>
  </w:style>
  <w:style w:type="paragraph" w:styleId="Quote">
    <w:name w:val="Quote"/>
    <w:basedOn w:val="Heading1"/>
    <w:link w:val="QuoteChar"/>
    <w:qFormat/>
    <w:rsid w:val="00727D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D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D63"/>
    <w:pPr>
      <w:pageBreakBefore/>
    </w:pPr>
  </w:style>
  <w:style w:type="paragraph" w:customStyle="1" w:styleId="Border">
    <w:name w:val="Border"/>
    <w:basedOn w:val="Normal"/>
    <w:qFormat/>
    <w:rsid w:val="00727D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D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D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D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D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D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D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D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D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D63"/>
    <w:rPr>
      <w:u w:val="single"/>
    </w:rPr>
  </w:style>
  <w:style w:type="character" w:customStyle="1" w:styleId="BoldandItalics">
    <w:name w:val="Bold and Italics"/>
    <w:qFormat/>
    <w:rsid w:val="00727D63"/>
    <w:rPr>
      <w:b/>
      <w:i/>
      <w:u w:val="none"/>
    </w:rPr>
  </w:style>
  <w:style w:type="paragraph" w:styleId="BalloonText">
    <w:name w:val="Balloon Text"/>
    <w:basedOn w:val="Normal"/>
    <w:link w:val="BalloonTextChar"/>
    <w:rsid w:val="00727D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D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D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D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D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D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D63"/>
    <w:pPr>
      <w:spacing w:before="0" w:after="0"/>
    </w:pPr>
  </w:style>
  <w:style w:type="paragraph" w:customStyle="1" w:styleId="BodyTextBold">
    <w:name w:val="Body Text Bold"/>
    <w:basedOn w:val="BodyText"/>
    <w:qFormat/>
    <w:rsid w:val="00727D63"/>
    <w:rPr>
      <w:b/>
    </w:rPr>
  </w:style>
  <w:style w:type="character" w:styleId="Hyperlink">
    <w:name w:val="Hyperlink"/>
    <w:basedOn w:val="DefaultParagraphFont"/>
    <w:uiPriority w:val="99"/>
    <w:unhideWhenUsed/>
    <w:rsid w:val="00D54A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439</Words>
  <Characters>2799</Characters>
  <Application>Microsoft Office Word</Application>
  <DocSecurity>0</DocSecurity>
  <Lines>93</Lines>
  <Paragraphs>80</Paragraphs>
  <ScaleCrop>false</ScaleCrop>
  <Company>Author-it Software Corporation Ltd.</Company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CPCCSG3009 Screen-print signs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