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A20" w:rsidP="008F0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CPCCSG3008 Hand draw chalkboards and showcards</w:t>
      </w:r>
      <w:r>
        <w:fldChar w:fldCharType="end"/>
      </w:r>
    </w:p>
    <w:p w:rsidR="008F0A20" w:rsidP="008F0A20">
      <w:pPr>
        <w:pStyle w:val="Version"/>
        <w:sectPr w:rsidSect="00B11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855" w:rsidP="00B11855">
      <w:pPr>
        <w:pStyle w:val="SuperHeading"/>
      </w:pPr>
      <w:r w:rsidRPr="00B11855">
        <w:t>Assessment Requirements for CPCCSG3008 Hand draw chalkboards and showcards</w:t>
      </w:r>
    </w:p>
    <w:p w:rsidR="00000000" w:rsidRPr="00B11855" w:rsidP="00B11855">
      <w:pPr>
        <w:pStyle w:val="Heading1"/>
      </w:pPr>
      <w:bookmarkStart w:id="1" w:name="O_832153"/>
      <w:bookmarkEnd w:id="1"/>
      <w:r w:rsidRPr="00B11855">
        <w:t>Modification History</w:t>
      </w:r>
    </w:p>
    <w:p w:rsidR="00000000" w:rsidRPr="00B11855" w:rsidP="008F0A20">
      <w:pPr>
        <w:pStyle w:val="BodyText"/>
      </w:pPr>
      <w:r w:rsidRPr="00B11855">
        <w:t>Release 1.</w:t>
      </w:r>
    </w:p>
    <w:p w:rsidR="00000000" w:rsidRPr="00B11855" w:rsidP="008F0A20">
      <w:pPr>
        <w:pStyle w:val="BodyText"/>
      </w:pPr>
      <w:r w:rsidRPr="00B11855">
        <w:t>This version first released with CPC Construction and Property Services Training Package Version 2.</w:t>
      </w:r>
    </w:p>
    <w:p w:rsidR="00000000" w:rsidRPr="00B11855" w:rsidP="008F0A20">
      <w:pPr>
        <w:pStyle w:val="BodyText"/>
      </w:pPr>
      <w:r w:rsidRPr="00B11855">
        <w:t>Revised unit of competency. Replaces superseded equivalent CPCCSI3008A Write showcards and chalkboards.</w:t>
      </w:r>
    </w:p>
    <w:p w:rsidR="00000000" w:rsidRPr="00B11855" w:rsidP="00B11855">
      <w:pPr>
        <w:pStyle w:val="Heading1"/>
      </w:pPr>
      <w:bookmarkStart w:id="2" w:name="O_832156"/>
      <w:bookmarkEnd w:id="2"/>
      <w:r w:rsidRPr="00B11855">
        <w:t>Performance Evidence</w:t>
      </w:r>
    </w:p>
    <w:p w:rsidR="00000000" w:rsidRPr="00B11855" w:rsidP="008F0A20">
      <w:pPr>
        <w:pStyle w:val="BodyText"/>
      </w:pPr>
      <w:r w:rsidRPr="00B11855">
        <w:t>A person demonstrating competency in this unit must satisfy all of the elements, performance criteria and foundati</w:t>
      </w:r>
      <w:r w:rsidRPr="00B11855">
        <w:t>on skills of this unit, and must produce:</w:t>
      </w:r>
    </w:p>
    <w:p w:rsidR="00000000" w:rsidRPr="00B11855" w:rsidP="00B11855">
      <w:pPr>
        <w:pStyle w:val="ListBullet"/>
      </w:pPr>
      <w:r w:rsidRPr="00B11855">
        <w:t>one menu consisting of lettering and graphics on chalkboard</w:t>
      </w:r>
    </w:p>
    <w:p w:rsidR="00000000" w:rsidRPr="00B11855" w:rsidP="00B11855">
      <w:pPr>
        <w:pStyle w:val="ListBullet"/>
      </w:pPr>
      <w:r w:rsidRPr="00B11855">
        <w:t>one showcard using paints and brushes, drawn on cardboard.</w:t>
      </w:r>
    </w:p>
    <w:p w:rsidR="00000000" w:rsidRPr="00B11855" w:rsidP="00B11855">
      <w:pPr>
        <w:pStyle w:val="BodyText"/>
      </w:pPr>
    </w:p>
    <w:p w:rsidR="00000000" w:rsidRPr="00B11855" w:rsidP="008F0A20">
      <w:pPr>
        <w:pStyle w:val="BodyText"/>
      </w:pPr>
      <w:r w:rsidRPr="00B11855">
        <w:t>In doing the above work, the person must:</w:t>
      </w:r>
    </w:p>
    <w:p w:rsidR="00000000" w:rsidRPr="00B11855" w:rsidP="00B11855">
      <w:pPr>
        <w:pStyle w:val="ListBullet"/>
      </w:pPr>
      <w:r w:rsidRPr="00B11855">
        <w:t>prepare each surface</w:t>
      </w:r>
    </w:p>
    <w:p w:rsidR="00000000" w:rsidRPr="00B11855" w:rsidP="00B11855">
      <w:pPr>
        <w:pStyle w:val="ListBullet"/>
      </w:pPr>
      <w:r w:rsidRPr="00B11855">
        <w:t>apply the principles and theo</w:t>
      </w:r>
      <w:r w:rsidRPr="00B11855">
        <w:t>ry of laying out signs to ensure their legibility and visual impact</w:t>
      </w:r>
    </w:p>
    <w:p w:rsidR="00000000" w:rsidRPr="00B11855" w:rsidP="00B11855">
      <w:pPr>
        <w:pStyle w:val="ListBullet"/>
      </w:pPr>
      <w:r w:rsidRPr="00B11855">
        <w:t>select and use tools and materials to safely and efficiently meet the job requirements.</w:t>
      </w:r>
    </w:p>
    <w:p w:rsidR="00000000" w:rsidRPr="00B11855" w:rsidP="00B11855">
      <w:pPr>
        <w:pStyle w:val="AllowPageBreak"/>
      </w:pPr>
    </w:p>
    <w:p w:rsidR="00000000" w:rsidRPr="00B11855" w:rsidP="00B11855">
      <w:pPr>
        <w:pStyle w:val="Heading1"/>
      </w:pPr>
      <w:bookmarkStart w:id="3" w:name="O_832155"/>
      <w:bookmarkEnd w:id="3"/>
      <w:r w:rsidRPr="00B11855">
        <w:t>Knowledge Evidence</w:t>
      </w:r>
    </w:p>
    <w:p w:rsidR="00000000" w:rsidRPr="00B11855" w:rsidP="008F0A20">
      <w:pPr>
        <w:pStyle w:val="BodyText"/>
      </w:pPr>
      <w:r w:rsidRPr="00B11855">
        <w:t xml:space="preserve">A person demonstrating competency in this unit must demonstrate </w:t>
      </w:r>
      <w:r w:rsidRPr="00B11855">
        <w:t>knowledge of:</w:t>
      </w:r>
    </w:p>
    <w:p w:rsidR="00000000" w:rsidRPr="00B11855" w:rsidP="00B11855">
      <w:pPr>
        <w:pStyle w:val="ListBullet"/>
      </w:pPr>
      <w:r w:rsidRPr="00B11855">
        <w:t>surface compatibility with different paints and mediums and various methods for their application</w:t>
      </w:r>
    </w:p>
    <w:p w:rsidR="00000000" w:rsidRPr="00B11855" w:rsidP="00B11855">
      <w:pPr>
        <w:pStyle w:val="ListBullet"/>
      </w:pPr>
      <w:r w:rsidRPr="00B11855">
        <w:t>design principles and their application in hand drawing chalkboards and showcards, including:</w:t>
      </w:r>
    </w:p>
    <w:p w:rsidR="00000000" w:rsidRPr="00B11855" w:rsidP="00B11855">
      <w:pPr>
        <w:pStyle w:val="ListBullet2"/>
      </w:pPr>
      <w:r w:rsidRPr="00B11855">
        <w:t>construction of alphabets and choice of fonts</w:t>
      </w:r>
    </w:p>
    <w:p w:rsidR="00000000" w:rsidRPr="00B11855" w:rsidP="00B11855">
      <w:pPr>
        <w:pStyle w:val="ListBullet2"/>
      </w:pPr>
      <w:r w:rsidRPr="00B11855">
        <w:t>theory of letter spacing</w:t>
      </w:r>
    </w:p>
    <w:p w:rsidR="00000000" w:rsidRPr="00B11855" w:rsidP="00B11855">
      <w:pPr>
        <w:pStyle w:val="ListBullet2"/>
      </w:pPr>
      <w:r w:rsidRPr="00B11855">
        <w:t>principles and application of theories of laying out signs, including:</w:t>
      </w:r>
    </w:p>
    <w:p w:rsidR="00000000" w:rsidRPr="00B11855" w:rsidP="00B11855">
      <w:pPr>
        <w:pStyle w:val="ListBullet3"/>
      </w:pPr>
      <w:r w:rsidRPr="00B11855">
        <w:t>balance</w:t>
      </w:r>
    </w:p>
    <w:p w:rsidR="00000000" w:rsidRPr="00B11855" w:rsidP="00B11855">
      <w:pPr>
        <w:pStyle w:val="ListBullet3"/>
      </w:pPr>
      <w:r w:rsidRPr="00B11855">
        <w:t>colour</w:t>
      </w:r>
    </w:p>
    <w:p w:rsidR="00000000" w:rsidRPr="00B11855" w:rsidP="00B11855">
      <w:pPr>
        <w:pStyle w:val="ListBullet3"/>
      </w:pPr>
      <w:r w:rsidRPr="00B11855">
        <w:t>contrast</w:t>
      </w:r>
    </w:p>
    <w:p w:rsidR="00000000" w:rsidRPr="00B11855" w:rsidP="00B11855">
      <w:pPr>
        <w:pStyle w:val="ListBullet3"/>
      </w:pPr>
      <w:r w:rsidRPr="00B11855">
        <w:t>harmony</w:t>
      </w:r>
    </w:p>
    <w:p w:rsidR="00000000" w:rsidRPr="00B11855" w:rsidP="00B11855">
      <w:pPr>
        <w:pStyle w:val="ListBullet3"/>
      </w:pPr>
      <w:r w:rsidRPr="00B11855">
        <w:t>letter styles</w:t>
      </w:r>
    </w:p>
    <w:p w:rsidR="00000000" w:rsidRPr="00B11855" w:rsidP="00B11855">
      <w:pPr>
        <w:pStyle w:val="ListBullet3"/>
      </w:pPr>
      <w:r w:rsidRPr="00B11855">
        <w:t>space</w:t>
      </w:r>
    </w:p>
    <w:p w:rsidR="00000000" w:rsidRPr="00B11855" w:rsidP="00B11855">
      <w:pPr>
        <w:pStyle w:val="ListBullet"/>
      </w:pPr>
      <w:r w:rsidRPr="00B11855">
        <w:t xml:space="preserve">relevant Australian standards applicable to hand drawn signs, including: </w:t>
      </w:r>
    </w:p>
    <w:p w:rsidR="00000000" w:rsidRPr="00B11855" w:rsidP="00B11855">
      <w:pPr>
        <w:pStyle w:val="ListBullet2"/>
      </w:pPr>
      <w:r w:rsidRPr="00B11855">
        <w:t>AS 1319 Safety signs for the occupational environment</w:t>
      </w:r>
    </w:p>
    <w:p w:rsidR="00000000" w:rsidRPr="00B11855" w:rsidP="00B11855">
      <w:pPr>
        <w:pStyle w:val="ListBullet2"/>
      </w:pPr>
      <w:r w:rsidRPr="00B11855">
        <w:t>AS 2311 General workmanship – painting</w:t>
      </w:r>
    </w:p>
    <w:p w:rsidR="00000000" w:rsidRPr="00B11855" w:rsidP="00B11855">
      <w:pPr>
        <w:pStyle w:val="ListBullet2"/>
      </w:pPr>
      <w:r w:rsidRPr="00B11855">
        <w:t>AS 2700 Colour standards for general purposes</w:t>
      </w:r>
    </w:p>
    <w:p w:rsidR="00000000" w:rsidRPr="00B11855" w:rsidP="00B11855">
      <w:pPr>
        <w:pStyle w:val="ListBullet"/>
      </w:pPr>
      <w:r w:rsidRPr="00B11855">
        <w:t>colour selection techniques and principles relating to hand drawing chalkboards and showcards</w:t>
      </w:r>
    </w:p>
    <w:p w:rsidR="00000000" w:rsidRPr="00B11855" w:rsidP="00B11855">
      <w:pPr>
        <w:pStyle w:val="ListBullet"/>
      </w:pPr>
      <w:r w:rsidRPr="00B11855">
        <w:t>commonly used drawings and layouts for chalkboards and showcards</w:t>
      </w:r>
    </w:p>
    <w:p w:rsidR="00000000" w:rsidRPr="00B11855" w:rsidP="00B11855">
      <w:pPr>
        <w:pStyle w:val="ListBullet"/>
      </w:pPr>
      <w:r w:rsidRPr="00B11855">
        <w:t>purpose and application of the following when working with materials required to produce hand drawn chalkboards:</w:t>
      </w:r>
    </w:p>
    <w:p w:rsidR="00000000" w:rsidRPr="00B11855" w:rsidP="00B11855">
      <w:pPr>
        <w:pStyle w:val="ListBullet2"/>
      </w:pPr>
      <w:r w:rsidRPr="00B11855">
        <w:t>safety data sheets (SDS)</w:t>
      </w:r>
    </w:p>
    <w:p w:rsidR="00000000" w:rsidRPr="00B11855" w:rsidP="00B11855">
      <w:pPr>
        <w:pStyle w:val="ListBullet2"/>
      </w:pPr>
      <w:r w:rsidRPr="00B11855">
        <w:t>safe work method statements (SWMS)</w:t>
      </w:r>
    </w:p>
    <w:p w:rsidR="00000000" w:rsidRPr="00B11855" w:rsidP="00B11855">
      <w:pPr>
        <w:pStyle w:val="ListBullet"/>
      </w:pPr>
      <w:r w:rsidRPr="00B11855">
        <w:t>processes and te</w:t>
      </w:r>
      <w:r w:rsidRPr="00B11855">
        <w:t>chniques to measure and calculate material quantities required when hand drawing chalkboards and showcards</w:t>
      </w:r>
    </w:p>
    <w:p w:rsidR="00000000" w:rsidRPr="00B11855" w:rsidP="00B11855">
      <w:pPr>
        <w:pStyle w:val="ListBullet"/>
      </w:pPr>
      <w:r w:rsidRPr="00B11855">
        <w:t>measuring and setting out methods relevant to layout of hand drawn chalkboards and showcards</w:t>
      </w:r>
    </w:p>
    <w:p w:rsidR="00000000" w:rsidRPr="00B11855" w:rsidP="00B11855">
      <w:pPr>
        <w:pStyle w:val="ListBullet"/>
      </w:pPr>
      <w:r w:rsidRPr="00B11855">
        <w:t>statutory and regulatory authority requirements relating</w:t>
      </w:r>
      <w:r w:rsidRPr="00B11855">
        <w:t xml:space="preserve"> to the use and handling of materials used in drawing chalkboards and showcards, including:</w:t>
      </w:r>
    </w:p>
    <w:p w:rsidR="00000000" w:rsidRPr="00B11855" w:rsidP="00B11855">
      <w:pPr>
        <w:pStyle w:val="ListBullet2"/>
      </w:pPr>
      <w:r w:rsidRPr="00B11855">
        <w:t>removal of waste products</w:t>
      </w:r>
    </w:p>
    <w:p w:rsidR="00000000" w:rsidRPr="00B11855" w:rsidP="00B11855">
      <w:pPr>
        <w:pStyle w:val="ListBullet2"/>
      </w:pPr>
      <w:r w:rsidRPr="00B11855">
        <w:t>storage of chemicals and materials</w:t>
      </w:r>
    </w:p>
    <w:p w:rsidR="00000000" w:rsidRPr="00B11855" w:rsidP="00B11855">
      <w:pPr>
        <w:pStyle w:val="ListBullet"/>
      </w:pPr>
      <w:r w:rsidRPr="00B11855">
        <w:t>symbols, dimensions and terminology relating to chalkboards and showcards</w:t>
      </w:r>
    </w:p>
    <w:p w:rsidR="00000000" w:rsidRPr="00B11855" w:rsidP="00B11855">
      <w:pPr>
        <w:pStyle w:val="ListBullet"/>
      </w:pPr>
      <w:r w:rsidRPr="00B11855">
        <w:t>techniques for writing chalkboards and showcards</w:t>
      </w:r>
    </w:p>
    <w:p w:rsidR="00000000" w:rsidRPr="00B11855" w:rsidP="00B11855">
      <w:pPr>
        <w:pStyle w:val="ListBullet"/>
      </w:pPr>
      <w:r w:rsidRPr="00B11855">
        <w:t>types and characteristics of brushes and applicators used when producing hand drawn chalkboard and showcard signs</w:t>
      </w:r>
    </w:p>
    <w:p w:rsidR="00000000" w:rsidRPr="00B11855" w:rsidP="00B11855">
      <w:pPr>
        <w:pStyle w:val="ListBullet"/>
      </w:pPr>
      <w:r w:rsidRPr="00B11855">
        <w:t>types, use and compatibility of materials applied to chalkboards and showcards.</w:t>
      </w:r>
    </w:p>
    <w:p w:rsidR="00000000" w:rsidRPr="00B11855" w:rsidP="00B11855">
      <w:pPr>
        <w:pStyle w:val="AllowPageBreak"/>
      </w:pPr>
    </w:p>
    <w:p w:rsidR="00000000" w:rsidRPr="00B11855" w:rsidP="00B11855">
      <w:pPr>
        <w:pStyle w:val="Heading1"/>
      </w:pPr>
      <w:bookmarkStart w:id="4" w:name="O_832154"/>
      <w:bookmarkEnd w:id="4"/>
      <w:r w:rsidRPr="00B11855">
        <w:t>Assessment Conditions</w:t>
      </w:r>
    </w:p>
    <w:p w:rsidR="00000000" w:rsidRPr="00B11855" w:rsidP="008F0A20">
      <w:pPr>
        <w:pStyle w:val="BodyText"/>
      </w:pPr>
      <w:r w:rsidRPr="00B11855">
        <w:t>Suitable assessment of performance requires:</w:t>
      </w:r>
    </w:p>
    <w:p w:rsidR="00000000" w:rsidRPr="00B11855" w:rsidP="00B11855">
      <w:pPr>
        <w:pStyle w:val="ListBullet"/>
      </w:pPr>
      <w:r w:rsidRPr="00B11855">
        <w:t>equipment and tools:</w:t>
      </w:r>
    </w:p>
    <w:p w:rsidR="00000000" w:rsidRPr="00B11855" w:rsidP="00B11855">
      <w:pPr>
        <w:pStyle w:val="ListBullet2"/>
      </w:pPr>
      <w:r w:rsidRPr="00B11855">
        <w:t>as listed in the range of conditions</w:t>
      </w:r>
    </w:p>
    <w:p w:rsidR="00000000" w:rsidRPr="00B11855" w:rsidP="00B11855">
      <w:pPr>
        <w:pStyle w:val="ListBullet"/>
      </w:pPr>
      <w:r w:rsidRPr="00B11855">
        <w:t>specifications:</w:t>
      </w:r>
    </w:p>
    <w:p w:rsidR="00000000" w:rsidRPr="00B11855" w:rsidP="00B11855">
      <w:pPr>
        <w:pStyle w:val="ListBullet2"/>
      </w:pPr>
      <w:r w:rsidRPr="00B11855">
        <w:t>Australian standards specified in knowledge evidence</w:t>
      </w:r>
    </w:p>
    <w:p w:rsidR="00000000" w:rsidRPr="00B11855" w:rsidP="00B11855">
      <w:pPr>
        <w:pStyle w:val="ListBullet2"/>
      </w:pPr>
      <w:r w:rsidRPr="00B11855">
        <w:t>drawings</w:t>
      </w:r>
    </w:p>
    <w:p w:rsidR="00000000" w:rsidRPr="00B11855" w:rsidP="00B11855">
      <w:pPr>
        <w:pStyle w:val="ListBullet2"/>
      </w:pPr>
      <w:r w:rsidRPr="00B11855">
        <w:t>SDS</w:t>
      </w:r>
    </w:p>
    <w:p w:rsidR="00000000" w:rsidRPr="00B11855" w:rsidP="00B11855">
      <w:pPr>
        <w:pStyle w:val="ListBullet2"/>
      </w:pPr>
      <w:r w:rsidRPr="00B11855">
        <w:t>SWMS</w:t>
      </w:r>
    </w:p>
    <w:p w:rsidR="00000000" w:rsidRPr="00B11855" w:rsidP="00B11855">
      <w:pPr>
        <w:pStyle w:val="ListBullet2"/>
      </w:pPr>
      <w:r w:rsidRPr="00B11855">
        <w:t>work instructions</w:t>
      </w:r>
    </w:p>
    <w:p w:rsidR="00000000" w:rsidRPr="00B11855" w:rsidP="00B11855">
      <w:pPr>
        <w:pStyle w:val="ListBullet"/>
      </w:pPr>
      <w:r w:rsidRPr="00B11855">
        <w:t>timeframe:</w:t>
      </w:r>
    </w:p>
    <w:p w:rsidR="00000000" w:rsidRPr="00B11855" w:rsidP="00B11855">
      <w:pPr>
        <w:pStyle w:val="ListBullet2"/>
      </w:pPr>
      <w:r w:rsidRPr="00B11855">
        <w:t>according to job requirements.</w:t>
      </w:r>
    </w:p>
    <w:p w:rsidR="00000000" w:rsidRPr="00B11855" w:rsidP="00B11855">
      <w:pPr>
        <w:pStyle w:val="BodyText"/>
      </w:pPr>
    </w:p>
    <w:p w:rsidR="00000000" w:rsidRPr="00B11855" w:rsidP="008F0A20">
      <w:pPr>
        <w:pStyle w:val="Heading3"/>
      </w:pPr>
      <w:r w:rsidRPr="00B11855">
        <w:rPr>
          <w:rStyle w:val="SpecialBold"/>
        </w:rPr>
        <w:t>Assessor requirements</w:t>
      </w:r>
    </w:p>
    <w:p w:rsidR="00000000" w:rsidRPr="00B11855" w:rsidP="008F0A20">
      <w:pPr>
        <w:pStyle w:val="BodyText"/>
      </w:pPr>
      <w:r w:rsidRPr="00B11855">
        <w:t xml:space="preserve">As a minimum, assessors must satisfy the assessor requirements in the Standards for Registered Training Organisations (RTOs) current at the time of assessment. </w:t>
      </w:r>
    </w:p>
    <w:p w:rsidR="00000000" w:rsidRPr="00B11855" w:rsidP="00B11855">
      <w:pPr>
        <w:pStyle w:val="Heading1"/>
      </w:pPr>
      <w:bookmarkStart w:id="5" w:name="O_832152"/>
      <w:bookmarkEnd w:id="5"/>
      <w:r w:rsidRPr="00B11855">
        <w:t>Links</w:t>
      </w:r>
    </w:p>
    <w:p w:rsidR="00000000" w:rsidRPr="00B11855" w:rsidP="008F0A20">
      <w:pPr>
        <w:pStyle w:val="BodyText"/>
      </w:pPr>
      <w:r w:rsidRPr="00B11855">
        <w:t>Companion Volume i</w:t>
      </w:r>
      <w:r w:rsidRPr="00B1185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37A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1855" w:rsidP="00B11855"/>
    <w:sectPr w:rsidSect="00B118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55" w:rsidRPr="008F0A20" w:rsidP="008F0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20" w:rsidP="00B11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A20" w:rsidP="00B11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0A20" w:rsidP="00B11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855" w:rsidRPr="008F0A20" w:rsidP="008F0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20" w:rsidRPr="002D2AF8" w:rsidP="00B11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CPCCSG3008 Hand draw chalkboards and showcards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F0A20" w:rsidP="00B11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47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26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87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855"/>
  </w:style>
  <w:style w:type="character" w:customStyle="1" w:styleId="Heading1Char">
    <w:name w:val="Heading 1 Char"/>
    <w:basedOn w:val="DefaultParagraphFont"/>
    <w:link w:val="Heading1"/>
    <w:rsid w:val="00B11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8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8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855"/>
    <w:rPr>
      <w:b/>
      <w:spacing w:val="0"/>
    </w:rPr>
  </w:style>
  <w:style w:type="paragraph" w:styleId="ListBullet2">
    <w:name w:val="List Bullet 2"/>
    <w:basedOn w:val="List2"/>
    <w:rsid w:val="00B118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18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1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855"/>
    <w:rPr>
      <w:i/>
    </w:rPr>
  </w:style>
  <w:style w:type="paragraph" w:styleId="Caption">
    <w:name w:val="caption"/>
    <w:basedOn w:val="BodyText"/>
    <w:next w:val="Normal"/>
    <w:qFormat/>
    <w:rsid w:val="00B11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855"/>
  </w:style>
  <w:style w:type="paragraph" w:styleId="TableofFigures">
    <w:name w:val="table of figures"/>
    <w:basedOn w:val="Normal"/>
    <w:next w:val="Normal"/>
    <w:semiHidden/>
    <w:rsid w:val="00B11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8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1855"/>
    <w:rPr>
      <w:rFonts w:ascii="Wingdings" w:hAnsi="Wingdings"/>
    </w:rPr>
  </w:style>
  <w:style w:type="paragraph" w:customStyle="1" w:styleId="TableHeading">
    <w:name w:val="Table Heading"/>
    <w:basedOn w:val="HeadingBase"/>
    <w:rsid w:val="00B11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855"/>
    <w:rPr>
      <w:color w:val="0033CC"/>
      <w:u w:val="none"/>
    </w:rPr>
  </w:style>
  <w:style w:type="paragraph" w:customStyle="1" w:styleId="BodyTextRight">
    <w:name w:val="Body Text Right"/>
    <w:basedOn w:val="BodyText"/>
    <w:rsid w:val="00B11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8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855"/>
    <w:rPr>
      <w:sz w:val="32"/>
    </w:rPr>
  </w:style>
  <w:style w:type="paragraph" w:customStyle="1" w:styleId="HeadingProcedure">
    <w:name w:val="Heading Procedure"/>
    <w:basedOn w:val="HeadingBase"/>
    <w:next w:val="Normal"/>
    <w:rsid w:val="00B11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855"/>
    <w:pPr>
      <w:spacing w:before="60" w:after="60"/>
    </w:pPr>
  </w:style>
  <w:style w:type="paragraph" w:styleId="ListContinue">
    <w:name w:val="List Continue"/>
    <w:basedOn w:val="List"/>
    <w:rsid w:val="00B11855"/>
    <w:pPr>
      <w:ind w:firstLine="0"/>
    </w:pPr>
  </w:style>
  <w:style w:type="paragraph" w:customStyle="1" w:styleId="ListNote">
    <w:name w:val="List Note"/>
    <w:basedOn w:val="List"/>
    <w:rsid w:val="00B11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855"/>
    <w:rPr>
      <w:rFonts w:ascii="Courier New" w:hAnsi="Courier New"/>
    </w:rPr>
  </w:style>
  <w:style w:type="paragraph" w:customStyle="1" w:styleId="NoteBullet">
    <w:name w:val="Note Bullet"/>
    <w:basedOn w:val="Note"/>
    <w:rsid w:val="00B11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8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1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855"/>
    <w:rPr>
      <w:b/>
      <w:smallCaps/>
    </w:rPr>
  </w:style>
  <w:style w:type="paragraph" w:customStyle="1" w:styleId="TableListNumber">
    <w:name w:val="Table List Number"/>
    <w:basedOn w:val="ListNumber"/>
    <w:rsid w:val="00B11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855"/>
    <w:pPr>
      <w:numPr>
        <w:numId w:val="10"/>
      </w:numPr>
    </w:pPr>
  </w:style>
  <w:style w:type="paragraph" w:customStyle="1" w:styleId="ListAlpha2">
    <w:name w:val="List Alpha 2"/>
    <w:basedOn w:val="List2"/>
    <w:rsid w:val="00B11855"/>
    <w:pPr>
      <w:numPr>
        <w:numId w:val="9"/>
      </w:numPr>
    </w:pPr>
  </w:style>
  <w:style w:type="paragraph" w:styleId="List2">
    <w:name w:val="List 2"/>
    <w:basedOn w:val="BodyText"/>
    <w:rsid w:val="00B11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8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18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1855"/>
    <w:pPr>
      <w:numPr>
        <w:numId w:val="5"/>
      </w:numPr>
    </w:pPr>
  </w:style>
  <w:style w:type="paragraph" w:styleId="ListContinue2">
    <w:name w:val="List Continue 2"/>
    <w:basedOn w:val="List2"/>
    <w:rsid w:val="00B11855"/>
    <w:pPr>
      <w:ind w:firstLine="0"/>
    </w:pPr>
  </w:style>
  <w:style w:type="paragraph" w:styleId="ListContinue3">
    <w:name w:val="List Continue 3"/>
    <w:basedOn w:val="List3"/>
    <w:rsid w:val="00B11855"/>
    <w:pPr>
      <w:ind w:left="1021" w:firstLine="0"/>
    </w:pPr>
  </w:style>
  <w:style w:type="paragraph" w:styleId="ListContinue4">
    <w:name w:val="List Continue 4"/>
    <w:basedOn w:val="List4"/>
    <w:rsid w:val="00B11855"/>
    <w:pPr>
      <w:ind w:firstLine="0"/>
    </w:pPr>
  </w:style>
  <w:style w:type="paragraph" w:styleId="ListContinue5">
    <w:name w:val="List Continue 5"/>
    <w:basedOn w:val="List5"/>
    <w:rsid w:val="00B11855"/>
    <w:pPr>
      <w:ind w:firstLine="0"/>
    </w:pPr>
  </w:style>
  <w:style w:type="paragraph" w:styleId="ListNumber3">
    <w:name w:val="List Number 3"/>
    <w:basedOn w:val="List3"/>
    <w:rsid w:val="00B11855"/>
    <w:pPr>
      <w:numPr>
        <w:numId w:val="6"/>
      </w:numPr>
    </w:pPr>
  </w:style>
  <w:style w:type="paragraph" w:styleId="ListNumber4">
    <w:name w:val="List Number 4"/>
    <w:basedOn w:val="List4"/>
    <w:rsid w:val="00B11855"/>
    <w:pPr>
      <w:numPr>
        <w:numId w:val="7"/>
      </w:numPr>
    </w:pPr>
  </w:style>
  <w:style w:type="paragraph" w:styleId="ListNumber5">
    <w:name w:val="List Number 5"/>
    <w:basedOn w:val="List5"/>
    <w:rsid w:val="00B11855"/>
    <w:pPr>
      <w:numPr>
        <w:numId w:val="8"/>
      </w:numPr>
    </w:pPr>
  </w:style>
  <w:style w:type="paragraph" w:styleId="BlockText">
    <w:name w:val="Block Text"/>
    <w:basedOn w:val="Normal"/>
    <w:rsid w:val="00B11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855"/>
    <w:rPr>
      <w:sz w:val="16"/>
      <w:vertAlign w:val="superscript"/>
    </w:rPr>
  </w:style>
  <w:style w:type="character" w:customStyle="1" w:styleId="Symbols">
    <w:name w:val="Symbols"/>
    <w:basedOn w:val="DefaultParagraphFont"/>
    <w:rsid w:val="00B11855"/>
    <w:rPr>
      <w:rFonts w:ascii="Symbol" w:hAnsi="Symbol"/>
    </w:rPr>
  </w:style>
  <w:style w:type="character" w:customStyle="1" w:styleId="MenuOptions">
    <w:name w:val="Menu Options"/>
    <w:basedOn w:val="DefaultParagraphFont"/>
    <w:rsid w:val="00B11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855"/>
    <w:rPr>
      <w:b/>
    </w:rPr>
  </w:style>
  <w:style w:type="character" w:customStyle="1" w:styleId="Underlined">
    <w:name w:val="Underlined"/>
    <w:basedOn w:val="DefaultParagraphFont"/>
    <w:rsid w:val="00B11855"/>
    <w:rPr>
      <w:u w:val="single"/>
    </w:rPr>
  </w:style>
  <w:style w:type="paragraph" w:customStyle="1" w:styleId="TableBodyTextRight">
    <w:name w:val="Table Body Text Right"/>
    <w:basedOn w:val="TableBodyText"/>
    <w:rsid w:val="00B11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855"/>
    <w:rPr>
      <w:sz w:val="18"/>
    </w:rPr>
  </w:style>
  <w:style w:type="paragraph" w:customStyle="1" w:styleId="BodySmallRight">
    <w:name w:val="Body Small Right"/>
    <w:basedOn w:val="BodyTextRight"/>
    <w:rsid w:val="00B11855"/>
    <w:rPr>
      <w:sz w:val="18"/>
      <w:szCs w:val="18"/>
    </w:rPr>
  </w:style>
  <w:style w:type="paragraph" w:customStyle="1" w:styleId="MarginEdition">
    <w:name w:val="Margin Edition"/>
    <w:basedOn w:val="MarginNote"/>
    <w:rsid w:val="00B11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855"/>
    <w:rPr>
      <w:sz w:val="2"/>
      <w:szCs w:val="2"/>
    </w:rPr>
  </w:style>
  <w:style w:type="character" w:customStyle="1" w:styleId="Small">
    <w:name w:val="Small"/>
    <w:basedOn w:val="DefaultParagraphFont"/>
    <w:rsid w:val="00B11855"/>
    <w:rPr>
      <w:sz w:val="16"/>
    </w:rPr>
  </w:style>
  <w:style w:type="paragraph" w:customStyle="1" w:styleId="WideTable">
    <w:name w:val="Wide Table"/>
    <w:basedOn w:val="Normal"/>
    <w:rsid w:val="00B11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855"/>
  </w:style>
  <w:style w:type="paragraph" w:styleId="Quote">
    <w:name w:val="Quote"/>
    <w:basedOn w:val="Heading1"/>
    <w:link w:val="QuoteChar"/>
    <w:qFormat/>
    <w:rsid w:val="00B11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855"/>
    <w:pPr>
      <w:pageBreakBefore/>
    </w:pPr>
  </w:style>
  <w:style w:type="paragraph" w:customStyle="1" w:styleId="Border">
    <w:name w:val="Border"/>
    <w:basedOn w:val="Normal"/>
    <w:qFormat/>
    <w:rsid w:val="00B11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855"/>
    <w:rPr>
      <w:u w:val="single"/>
    </w:rPr>
  </w:style>
  <w:style w:type="character" w:customStyle="1" w:styleId="BoldandItalics">
    <w:name w:val="Bold and Italics"/>
    <w:qFormat/>
    <w:rsid w:val="00B11855"/>
    <w:rPr>
      <w:b/>
      <w:i/>
      <w:u w:val="none"/>
    </w:rPr>
  </w:style>
  <w:style w:type="paragraph" w:styleId="BalloonText">
    <w:name w:val="Balloon Text"/>
    <w:basedOn w:val="Normal"/>
    <w:link w:val="BalloonTextChar"/>
    <w:rsid w:val="00B11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855"/>
    <w:pPr>
      <w:spacing w:before="0" w:after="0"/>
    </w:pPr>
  </w:style>
  <w:style w:type="paragraph" w:customStyle="1" w:styleId="BodyTextBold">
    <w:name w:val="Body Text Bold"/>
    <w:basedOn w:val="BodyText"/>
    <w:qFormat/>
    <w:rsid w:val="00B11855"/>
    <w:rPr>
      <w:b/>
    </w:rPr>
  </w:style>
  <w:style w:type="character" w:styleId="Hyperlink">
    <w:name w:val="Hyperlink"/>
    <w:basedOn w:val="DefaultParagraphFont"/>
    <w:uiPriority w:val="99"/>
    <w:unhideWhenUsed/>
    <w:rsid w:val="008F0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3028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CPCCSG3008 Hand draw chalkboards and showcards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