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203" w:rsidP="00933203">
      <w:pPr>
        <w:pStyle w:val="Title"/>
      </w:pPr>
      <w:r>
        <w:fldChar w:fldCharType="begin"/>
      </w:r>
      <w:r>
        <w:instrText xml:space="preserve"> TITLE   \* MERGEFORMAT </w:instrText>
      </w:r>
      <w:r>
        <w:fldChar w:fldCharType="separate"/>
      </w:r>
      <w:r>
        <w:t>CPCCSG3006 Apply gilding to signs</w:t>
      </w:r>
      <w:r>
        <w:fldChar w:fldCharType="end"/>
      </w:r>
    </w:p>
    <w:p w:rsidR="00933203" w:rsidP="00933203">
      <w:pPr>
        <w:pStyle w:val="Version"/>
        <w:sectPr w:rsidSect="002B7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27C" w:rsidP="002B727C">
      <w:pPr>
        <w:pStyle w:val="SuperHeading"/>
      </w:pPr>
      <w:r w:rsidRPr="002B727C">
        <w:t>CPCCSG3006 Apply gilding to signs</w:t>
      </w:r>
    </w:p>
    <w:p w:rsidR="00000000" w:rsidRPr="002B727C" w:rsidP="002B727C">
      <w:pPr>
        <w:pStyle w:val="Heading1"/>
      </w:pPr>
      <w:bookmarkStart w:id="1" w:name="O_1155651"/>
      <w:bookmarkEnd w:id="1"/>
      <w:r w:rsidRPr="002B727C">
        <w:t>Modification History</w:t>
      </w:r>
    </w:p>
    <w:tbl>
      <w:tblPr>
        <w:tblW w:w="0" w:type="auto"/>
        <w:tblLayout w:type="fixed"/>
        <w:tblCellMar>
          <w:left w:w="62" w:type="dxa"/>
          <w:right w:w="62" w:type="dxa"/>
        </w:tblCellMar>
        <w:tblLook w:val="0000"/>
      </w:tblPr>
      <w:tblGrid>
        <w:gridCol w:w="1128"/>
        <w:gridCol w:w="7944"/>
      </w:tblGrid>
      <w:tr w:rsidTr="002B727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Release 2</w:t>
            </w:r>
          </w:p>
        </w:tc>
        <w:tc>
          <w:tcPr>
            <w:tcW w:w="7944" w:type="dxa"/>
            <w:tcBorders>
              <w:top w:val="nil"/>
              <w:left w:val="nil"/>
              <w:bottom w:val="nil"/>
              <w:right w:val="nil"/>
            </w:tcBorders>
            <w:tcMar>
              <w:top w:w="0" w:type="dxa"/>
              <w:left w:w="62" w:type="dxa"/>
              <w:bottom w:w="0" w:type="dxa"/>
              <w:right w:w="62" w:type="dxa"/>
            </w:tcMar>
          </w:tcPr>
          <w:p w:rsidR="00000000" w:rsidRPr="002B727C" w:rsidP="002B727C">
            <w:pPr>
              <w:pStyle w:val="BodyText"/>
            </w:pPr>
            <w:r w:rsidRPr="002B727C">
              <w:t>This version first released with CPC Construction, Plumbing and Services Training Package Release 5.0.</w:t>
            </w:r>
          </w:p>
          <w:p w:rsidR="00000000" w:rsidRPr="002B727C" w:rsidP="002B727C">
            <w:pPr>
              <w:pStyle w:val="BodyText"/>
            </w:pPr>
            <w:r w:rsidRPr="002B727C">
              <w:t>Elements and Performance Criteria ‘</w:t>
            </w:r>
            <w:r w:rsidRPr="002B727C">
              <w:rPr>
                <w:rStyle w:val="Emphasis"/>
              </w:rPr>
              <w:t>3.2 Adhesive is mixed with colour according to job requirements and applied to prepared</w:t>
            </w:r>
            <w:r w:rsidRPr="002B727C">
              <w:rPr>
                <w:rStyle w:val="Emphasis"/>
              </w:rPr>
              <w:t xml:space="preserve"> surface</w:t>
            </w:r>
            <w:r w:rsidRPr="002B727C">
              <w:t>.</w:t>
            </w:r>
            <w:r>
              <w:t>’</w:t>
            </w:r>
            <w:r w:rsidRPr="002B727C">
              <w:t xml:space="preserve"> moved to 4.1 as an additional subpoint.</w:t>
            </w:r>
          </w:p>
          <w:p w:rsidR="00000000" w:rsidP="002B727C">
            <w:pPr>
              <w:pStyle w:val="BodyText"/>
              <w:rPr>
                <w:lang w:val="en-NZ"/>
              </w:rPr>
            </w:pPr>
            <w:r w:rsidRPr="002B727C">
              <w:t xml:space="preserve">Element and Performance Criteria 4.2 corrected to read </w:t>
            </w:r>
            <w:r>
              <w:t>‘</w:t>
            </w:r>
            <w:r w:rsidRPr="002B727C">
              <w:rPr>
                <w:rStyle w:val="Emphasis"/>
              </w:rPr>
              <w:t>Size is applied carefully to surface</w:t>
            </w:r>
            <w:r w:rsidRPr="002B727C">
              <w:t xml:space="preserve"> </w:t>
            </w:r>
            <w:r w:rsidRPr="002B727C">
              <w:rPr>
                <w:rStyle w:val="Emphasis"/>
              </w:rPr>
              <w:t>and gilding size is checked to be within design.</w:t>
            </w:r>
            <w:r>
              <w:t>’</w:t>
            </w:r>
            <w:r w:rsidRPr="002B727C">
              <w:t xml:space="preserve"> </w:t>
            </w:r>
          </w:p>
        </w:tc>
      </w:tr>
      <w:tr w:rsidTr="002B727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Release 1</w:t>
            </w:r>
          </w:p>
        </w:tc>
        <w:tc>
          <w:tcPr>
            <w:tcW w:w="7944" w:type="dxa"/>
            <w:tcBorders>
              <w:top w:val="nil"/>
              <w:left w:val="nil"/>
              <w:bottom w:val="nil"/>
              <w:right w:val="nil"/>
            </w:tcBorders>
            <w:tcMar>
              <w:top w:w="0" w:type="dxa"/>
              <w:left w:w="62" w:type="dxa"/>
              <w:bottom w:w="0" w:type="dxa"/>
              <w:right w:w="62" w:type="dxa"/>
            </w:tcMar>
          </w:tcPr>
          <w:p w:rsidR="00000000" w:rsidRPr="002B727C" w:rsidP="002B727C">
            <w:pPr>
              <w:pStyle w:val="BodyText"/>
            </w:pPr>
            <w:r w:rsidRPr="002B727C">
              <w:t>This version first released with CPC Construction,</w:t>
            </w:r>
            <w:r w:rsidRPr="002B727C">
              <w:t xml:space="preserve"> Plumbing and Services Training Package Release 2.0.</w:t>
            </w:r>
          </w:p>
          <w:p w:rsidR="00000000" w:rsidRPr="002B727C" w:rsidP="002B727C">
            <w:pPr>
              <w:pStyle w:val="BodyText"/>
            </w:pPr>
            <w:r w:rsidRPr="002B727C">
              <w:t>Revised unit of competency. Replaces superseded equivalent CPCCSI3006A Apply gilding to signage.</w:t>
            </w:r>
          </w:p>
        </w:tc>
      </w:tr>
    </w:tbl>
    <w:p w:rsidR="00000000" w:rsidRPr="002B727C" w:rsidP="002B727C">
      <w:pPr>
        <w:pStyle w:val="BodyText"/>
      </w:pPr>
    </w:p>
    <w:p w:rsidR="00000000" w:rsidRPr="002B727C" w:rsidP="002B727C">
      <w:pPr>
        <w:pStyle w:val="AllowPageBreak"/>
      </w:pPr>
    </w:p>
    <w:p w:rsidR="00000000" w:rsidRPr="002B727C" w:rsidP="002B727C">
      <w:pPr>
        <w:pStyle w:val="Heading1"/>
      </w:pPr>
      <w:bookmarkStart w:id="2" w:name="O_1155650"/>
      <w:bookmarkEnd w:id="2"/>
      <w:r w:rsidRPr="002B727C">
        <w:t>Application</w:t>
      </w:r>
    </w:p>
    <w:p w:rsidR="00000000" w:rsidRPr="002B727C" w:rsidP="00933203">
      <w:pPr>
        <w:pStyle w:val="BodyText"/>
      </w:pPr>
      <w:r w:rsidRPr="002B727C">
        <w:t>This unit of competency specifies the outcomes required to prepare backgr</w:t>
      </w:r>
      <w:r w:rsidRPr="002B727C">
        <w:t>ound surfaces, and mask, draft and apply gilding to lettering, shapes, heraldic and other decorative forms of signs.</w:t>
      </w:r>
    </w:p>
    <w:p w:rsidR="00000000" w:rsidRPr="002B727C" w:rsidP="00933203">
      <w:pPr>
        <w:pStyle w:val="BodyText"/>
      </w:pPr>
      <w:r w:rsidRPr="002B727C">
        <w:t xml:space="preserve">The unit supports sign manufacturers who apply traditional sign-writing techniques and materials to apply gilding to signs. </w:t>
      </w:r>
    </w:p>
    <w:p w:rsidR="00000000" w:rsidRPr="002B727C" w:rsidP="00933203">
      <w:pPr>
        <w:pStyle w:val="BodyText"/>
      </w:pPr>
      <w:r w:rsidRPr="002B727C">
        <w:t>No licensing</w:t>
      </w:r>
      <w:r w:rsidRPr="002B727C">
        <w:t>, legislative, regulatory or certification requirements apply to this unit of competency at the time of endorsement.</w:t>
      </w:r>
    </w:p>
    <w:p w:rsidR="00000000" w:rsidRPr="002B727C" w:rsidP="002B727C">
      <w:pPr>
        <w:pStyle w:val="Heading1"/>
      </w:pPr>
      <w:bookmarkStart w:id="3" w:name="O_1155649"/>
      <w:bookmarkEnd w:id="3"/>
      <w:r w:rsidRPr="002B727C">
        <w:t>Pre-requisite Unit</w:t>
      </w:r>
    </w:p>
    <w:p w:rsidR="00000000" w:rsidRPr="002B727C" w:rsidP="00933203">
      <w:pPr>
        <w:pStyle w:val="BodyText"/>
      </w:pPr>
      <w:r w:rsidRPr="002B727C">
        <w:t>Nil</w:t>
      </w:r>
    </w:p>
    <w:p w:rsidR="00000000" w:rsidRPr="002B727C" w:rsidP="002B727C">
      <w:pPr>
        <w:pStyle w:val="Heading1"/>
      </w:pPr>
      <w:bookmarkStart w:id="4" w:name="O_1155648"/>
      <w:bookmarkEnd w:id="4"/>
      <w:r w:rsidRPr="002B727C">
        <w:t>Competency Field</w:t>
      </w:r>
    </w:p>
    <w:p w:rsidR="00000000" w:rsidRPr="002B727C" w:rsidP="00933203">
      <w:pPr>
        <w:pStyle w:val="BodyText"/>
      </w:pPr>
      <w:r w:rsidRPr="002B727C">
        <w:t>Signs and graphics</w:t>
      </w:r>
    </w:p>
    <w:p w:rsidR="00000000" w:rsidRPr="002B727C" w:rsidP="002B727C">
      <w:pPr>
        <w:pStyle w:val="Heading1"/>
      </w:pPr>
      <w:bookmarkStart w:id="5" w:name="O_1155647"/>
      <w:bookmarkEnd w:id="5"/>
      <w:r w:rsidRPr="002B727C">
        <w:t>Unit Sector</w:t>
      </w:r>
    </w:p>
    <w:p w:rsidR="00000000" w:rsidRPr="002B727C" w:rsidP="00933203">
      <w:pPr>
        <w:pStyle w:val="BodyText"/>
      </w:pPr>
      <w:r w:rsidRPr="002B727C">
        <w:t>Construction</w:t>
      </w:r>
    </w:p>
    <w:p w:rsidR="00000000" w:rsidRPr="002B727C" w:rsidP="002B727C">
      <w:pPr>
        <w:pStyle w:val="Heading1"/>
      </w:pPr>
      <w:bookmarkStart w:id="6" w:name="O_1155646"/>
      <w:bookmarkEnd w:id="6"/>
      <w:r w:rsidRPr="002B727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B727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Performance criteria describe the performance needed to demonstrate achievement of the element. Where bold italicised text is used, further informa</w:t>
            </w:r>
            <w:r w:rsidRPr="002B727C">
              <w:t>tion is detailed in the range of conditions.</w:t>
            </w:r>
          </w:p>
        </w:tc>
      </w:tr>
      <w:tr w:rsidTr="002B727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2B727C">
            <w:pPr>
              <w:pStyle w:val="BodyText"/>
              <w:rPr>
                <w:lang w:val="en-NZ"/>
              </w:rPr>
            </w:pP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1</w:t>
            </w:r>
          </w:p>
        </w:tc>
        <w:tc>
          <w:tcPr>
            <w:tcW w:w="1986" w:type="dxa"/>
            <w:vMerge w:val="restart"/>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Plan and prepare work.</w:t>
            </w: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1.1</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 xml:space="preserve">Job requirements and timeframes are identified from work instructions and client briefs, confirmed, and applied to planning and preparation. </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1.2</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 xml:space="preserve">Health and safety requirements are identified and applied to planning. </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1.3</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 xml:space="preserve">Tools, equipment and materials are selected to carry out tasks consistent with job requirements. </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1.4</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Sign surface is prepared to receive gilding.</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2</w:t>
            </w:r>
          </w:p>
        </w:tc>
        <w:tc>
          <w:tcPr>
            <w:tcW w:w="1986" w:type="dxa"/>
            <w:vMerge w:val="restart"/>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Transfer sign design to surface.</w:t>
            </w: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2.1</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Draft design is set out to scale using setting out techniques applicable to sign design.</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2.2</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Draft design is drawn to scale and transferred to prepared surface using direct and indirect layout methods.</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2.3</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Decorat</w:t>
            </w:r>
            <w:r w:rsidRPr="002B727C">
              <w:t>ive process is applied and defects in application are identified and rectified in line with job requirements.</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3</w:t>
            </w:r>
          </w:p>
        </w:tc>
        <w:tc>
          <w:tcPr>
            <w:tcW w:w="1986" w:type="dxa"/>
            <w:vMerge w:val="restart"/>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Apply water gilding to sign.</w:t>
            </w: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3.1</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 xml:space="preserve">Gilding material is cut to required size and shape as specified. </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3.2</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Gilding material is applied to surface, faults in application are identified and rectified, and excess gilding material is trimmed and removed.</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3.3</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Surface area and sign are cleaned according to job requirements.</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4</w:t>
            </w:r>
          </w:p>
        </w:tc>
        <w:tc>
          <w:tcPr>
            <w:tcW w:w="1986" w:type="dxa"/>
            <w:vMerge w:val="restart"/>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Apply surface gilding to sign.</w:t>
            </w: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4.1</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Adhesive is mixed with colour according to job requirements and applied to prepared surface</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4.2</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Size is applied carefully to surface and gilding size is checked to be within design.</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4.3</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Gilding material is applied to size using rubbing techniques, ensuring no gaps and that design shape is fully covered.</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4.4</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Applied gilding leaf is burnished to ensure loose particles are removed.</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4.5</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Design shape is trimmed carefully where applicable, and cleaning procedure and materials are applied to clean the gilded and surrounding surface.</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5</w:t>
            </w:r>
          </w:p>
        </w:tc>
        <w:tc>
          <w:tcPr>
            <w:tcW w:w="1986" w:type="dxa"/>
            <w:vMerge w:val="restart"/>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Clean up.</w:t>
            </w: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5.1</w:t>
            </w:r>
          </w:p>
        </w:tc>
        <w:tc>
          <w:tcPr>
            <w:tcW w:w="5678"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Finished gilded sign and surrounding surface area are cleaned and waste materials remove</w:t>
            </w:r>
            <w:r w:rsidRPr="002B727C">
              <w:t xml:space="preserve">d according to workplace, statutory and regulatory authority requirements. </w:t>
            </w:r>
          </w:p>
        </w:tc>
      </w:tr>
      <w:tr w:rsidTr="002B727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5.2</w:t>
            </w:r>
          </w:p>
        </w:tc>
        <w:tc>
          <w:tcPr>
            <w:tcW w:w="5678" w:type="dxa"/>
            <w:tcBorders>
              <w:top w:val="nil"/>
              <w:left w:val="nil"/>
              <w:bottom w:val="nil"/>
              <w:right w:val="nil"/>
            </w:tcBorders>
            <w:tcMar>
              <w:top w:w="0" w:type="dxa"/>
              <w:left w:w="62" w:type="dxa"/>
              <w:bottom w:w="0" w:type="dxa"/>
              <w:right w:w="62" w:type="dxa"/>
            </w:tcMar>
          </w:tcPr>
          <w:p w:rsidR="00000000" w:rsidRPr="002B727C" w:rsidP="002B727C">
            <w:pPr>
              <w:pStyle w:val="BodyText"/>
            </w:pPr>
            <w:r w:rsidRPr="002B727C">
              <w:t>Tools and equipment, including personal protective equipment (PPE), are cleaned, maintained and stored according to workplace requirements.</w:t>
            </w:r>
          </w:p>
        </w:tc>
      </w:tr>
    </w:tbl>
    <w:p w:rsidR="00000000" w:rsidRPr="002B727C" w:rsidP="002B727C">
      <w:pPr>
        <w:pStyle w:val="BodyText"/>
      </w:pPr>
    </w:p>
    <w:p w:rsidR="00000000" w:rsidRPr="002B727C" w:rsidP="002B727C">
      <w:pPr>
        <w:pStyle w:val="AllowPageBreak"/>
      </w:pPr>
    </w:p>
    <w:p w:rsidR="00000000" w:rsidRPr="002B727C" w:rsidP="002B727C">
      <w:pPr>
        <w:pStyle w:val="Heading1"/>
      </w:pPr>
      <w:bookmarkStart w:id="7" w:name="O_1155645"/>
      <w:bookmarkEnd w:id="7"/>
      <w:r w:rsidRPr="002B727C">
        <w:t>Foundation Skills</w:t>
      </w:r>
    </w:p>
    <w:tbl>
      <w:tblPr>
        <w:tblW w:w="0" w:type="auto"/>
        <w:tblLayout w:type="fixed"/>
        <w:tblCellMar>
          <w:left w:w="62" w:type="dxa"/>
          <w:right w:w="62" w:type="dxa"/>
        </w:tblCellMar>
        <w:tblLook w:val="0000"/>
      </w:tblPr>
      <w:tblGrid>
        <w:gridCol w:w="2212"/>
        <w:gridCol w:w="6750"/>
      </w:tblGrid>
      <w:tr w:rsidTr="002B727C">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This section describes the language, literacy, numeracy and employment skills essential to performance in this unit but not explicit in the performance criteria.</w:t>
            </w:r>
          </w:p>
        </w:tc>
      </w:tr>
      <w:tr w:rsidTr="002B727C">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2B727C" w:rsidP="002B727C">
            <w:pPr>
              <w:pStyle w:val="BodyText"/>
            </w:pPr>
            <w:r w:rsidRPr="002B727C">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rPr>
                <w:rStyle w:val="SpecialBold"/>
              </w:rPr>
              <w:t>Performance feature</w:t>
            </w:r>
          </w:p>
        </w:tc>
      </w:tr>
      <w:tr w:rsidTr="002B727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Learning skills to:</w:t>
            </w:r>
          </w:p>
        </w:tc>
        <w:tc>
          <w:tcPr>
            <w:tcW w:w="6750" w:type="dxa"/>
            <w:tcBorders>
              <w:top w:val="nil"/>
              <w:left w:val="nil"/>
              <w:bottom w:val="nil"/>
              <w:right w:val="nil"/>
            </w:tcBorders>
            <w:tcMar>
              <w:top w:w="0" w:type="dxa"/>
              <w:left w:w="62" w:type="dxa"/>
              <w:bottom w:w="0" w:type="dxa"/>
              <w:right w:w="62" w:type="dxa"/>
            </w:tcMar>
          </w:tcPr>
          <w:p w:rsidR="00000000" w:rsidRPr="002B727C" w:rsidP="002B727C">
            <w:pPr>
              <w:pStyle w:val="ListBullet"/>
            </w:pPr>
            <w:r w:rsidRPr="002B727C">
              <w:t>transfer key principles and techniques of letter spacing and writing to new gilded sign designs.</w:t>
            </w:r>
          </w:p>
          <w:p w:rsidR="00000000" w:rsidP="002B727C">
            <w:pPr>
              <w:pStyle w:val="BodyText"/>
              <w:rPr>
                <w:lang w:val="en-NZ"/>
              </w:rPr>
            </w:pPr>
          </w:p>
        </w:tc>
      </w:tr>
      <w:tr w:rsidTr="002B727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Numeracy skills to:</w:t>
            </w:r>
          </w:p>
        </w:tc>
        <w:tc>
          <w:tcPr>
            <w:tcW w:w="6750" w:type="dxa"/>
            <w:tcBorders>
              <w:top w:val="nil"/>
              <w:left w:val="nil"/>
              <w:bottom w:val="nil"/>
              <w:right w:val="nil"/>
            </w:tcBorders>
            <w:tcMar>
              <w:top w:w="0" w:type="dxa"/>
              <w:left w:w="62" w:type="dxa"/>
              <w:bottom w:w="0" w:type="dxa"/>
              <w:right w:w="62" w:type="dxa"/>
            </w:tcMar>
          </w:tcPr>
          <w:p w:rsidR="00000000" w:rsidRPr="002B727C" w:rsidP="002B727C">
            <w:pPr>
              <w:pStyle w:val="ListBullet"/>
            </w:pPr>
            <w:r w:rsidRPr="002B727C">
              <w:t>perform measurements and calculations in the process of setting out to scale and transferring design to required location.</w:t>
            </w:r>
          </w:p>
          <w:p w:rsidR="00000000" w:rsidP="002B727C">
            <w:pPr>
              <w:pStyle w:val="BodyText"/>
              <w:rPr>
                <w:lang w:val="en-NZ"/>
              </w:rPr>
            </w:pPr>
          </w:p>
        </w:tc>
      </w:tr>
      <w:tr w:rsidTr="002B727C">
        <w:tblPrEx>
          <w:tblW w:w="0" w:type="auto"/>
          <w:tblLayout w:type="fixed"/>
          <w:tblCellMar>
            <w:left w:w="62" w:type="dxa"/>
            <w:right w:w="62" w:type="dxa"/>
          </w:tblCellMar>
          <w:tblLook w:val="0000"/>
        </w:tblPrEx>
        <w:trPr>
          <w:trHeight w:val="20"/>
        </w:trPr>
        <w:tc>
          <w:tcPr>
            <w:tcW w:w="2212"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2B727C" w:rsidP="002B727C">
            <w:pPr>
              <w:pStyle w:val="ListBullet"/>
            </w:pPr>
            <w:r w:rsidRPr="002B727C">
              <w:t>use questioning to identify and confirm requirements, share information, listen and understand.</w:t>
            </w:r>
          </w:p>
          <w:p w:rsidR="00000000" w:rsidP="002B727C">
            <w:pPr>
              <w:pStyle w:val="BodyText"/>
              <w:rPr>
                <w:lang w:val="en-NZ"/>
              </w:rPr>
            </w:pPr>
          </w:p>
        </w:tc>
      </w:tr>
      <w:tr w:rsidTr="002B727C">
        <w:tblPrEx>
          <w:tblW w:w="0" w:type="auto"/>
          <w:tblLayout w:type="fixed"/>
          <w:tblCellMar>
            <w:left w:w="62" w:type="dxa"/>
            <w:right w:w="62" w:type="dxa"/>
          </w:tblCellMar>
          <w:tblLook w:val="0000"/>
        </w:tblPrEx>
        <w:trPr>
          <w:trHeight w:val="20"/>
        </w:trPr>
        <w:tc>
          <w:tcPr>
            <w:tcW w:w="2212"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Reading skills to:</w:t>
            </w:r>
          </w:p>
        </w:tc>
        <w:tc>
          <w:tcPr>
            <w:tcW w:w="6750" w:type="dxa"/>
            <w:tcBorders>
              <w:top w:val="nil"/>
              <w:left w:val="nil"/>
              <w:bottom w:val="nil"/>
              <w:right w:val="nil"/>
            </w:tcBorders>
            <w:tcMar>
              <w:top w:w="0" w:type="dxa"/>
              <w:left w:w="62" w:type="dxa"/>
              <w:bottom w:w="0" w:type="dxa"/>
              <w:right w:w="62" w:type="dxa"/>
            </w:tcMar>
          </w:tcPr>
          <w:p w:rsidR="00000000" w:rsidRPr="002B727C" w:rsidP="002B727C">
            <w:pPr>
              <w:pStyle w:val="ListBullet"/>
            </w:pPr>
            <w:r w:rsidRPr="002B727C">
              <w:t xml:space="preserve">interpret a range of familiar workplace documentation received in the course of applying gilding </w:t>
            </w:r>
            <w:r w:rsidRPr="002B727C">
              <w:t xml:space="preserve">to signs, including design specifications, hand drawings, manufacturer specifications and work instructions. </w:t>
            </w:r>
          </w:p>
          <w:p w:rsidR="00000000" w:rsidRPr="002B727C" w:rsidP="002B727C">
            <w:pPr>
              <w:pStyle w:val="BodyText"/>
            </w:pPr>
          </w:p>
        </w:tc>
      </w:tr>
    </w:tbl>
    <w:p w:rsidR="00000000" w:rsidRPr="002B727C" w:rsidP="002B727C">
      <w:pPr>
        <w:pStyle w:val="BodyText"/>
      </w:pPr>
    </w:p>
    <w:p w:rsidR="00000000" w:rsidRPr="002B727C" w:rsidP="002B727C">
      <w:pPr>
        <w:pStyle w:val="AllowPageBreak"/>
      </w:pPr>
    </w:p>
    <w:p w:rsidR="00000000" w:rsidRPr="002B727C" w:rsidP="002B727C">
      <w:pPr>
        <w:pStyle w:val="Heading1"/>
      </w:pPr>
      <w:bookmarkStart w:id="8" w:name="O_1155644"/>
      <w:bookmarkEnd w:id="8"/>
      <w:r w:rsidRPr="002B727C">
        <w:t>Range of Conditions</w:t>
      </w:r>
    </w:p>
    <w:tbl>
      <w:tblPr>
        <w:tblW w:w="0" w:type="auto"/>
        <w:tblLayout w:type="fixed"/>
        <w:tblCellMar>
          <w:left w:w="62" w:type="dxa"/>
          <w:right w:w="62" w:type="dxa"/>
        </w:tblCellMar>
        <w:tblLook w:val="0000"/>
      </w:tblPr>
      <w:tblGrid>
        <w:gridCol w:w="2239"/>
        <w:gridCol w:w="6723"/>
      </w:tblGrid>
      <w:tr w:rsidTr="002B727C">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t>This section specifies work environments and conditions that may affect performance. Essential operating</w:t>
            </w:r>
            <w:r w:rsidRPr="002B727C">
              <w:t xml:space="preserve"> conditions that may be present (depending on the work situation, needs of the candidate, accessibility of the item, and local industry and regional contexts) are included. Bold italicised wording, if used in the performance criteria, is detailed below.</w:t>
            </w:r>
          </w:p>
        </w:tc>
      </w:tr>
      <w:tr w:rsidTr="002B727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rPr>
                <w:rStyle w:val="BoldandItalics"/>
              </w:rPr>
              <w:t xml:space="preserve">Health and safety requirements </w:t>
            </w:r>
            <w:r w:rsidRPr="002B727C">
              <w:t>must include:</w:t>
            </w:r>
          </w:p>
        </w:tc>
        <w:tc>
          <w:tcPr>
            <w:tcW w:w="6723" w:type="dxa"/>
            <w:tcBorders>
              <w:top w:val="nil"/>
              <w:left w:val="nil"/>
              <w:bottom w:val="nil"/>
              <w:right w:val="nil"/>
            </w:tcBorders>
            <w:tcMar>
              <w:top w:w="0" w:type="dxa"/>
              <w:left w:w="62" w:type="dxa"/>
              <w:bottom w:w="0" w:type="dxa"/>
              <w:right w:w="62" w:type="dxa"/>
            </w:tcMar>
          </w:tcPr>
          <w:p w:rsidR="00000000" w:rsidRPr="002B727C" w:rsidP="002B727C">
            <w:pPr>
              <w:pStyle w:val="ListBullet"/>
            </w:pPr>
            <w:r w:rsidRPr="002B727C">
              <w:t>selection, correct fitting, and use of PPE prescribed under legislation, regulations and workplace policies and practices</w:t>
            </w:r>
          </w:p>
          <w:p w:rsidR="00000000" w:rsidRPr="002B727C" w:rsidP="002B727C">
            <w:pPr>
              <w:pStyle w:val="ListBullet"/>
            </w:pPr>
            <w:r w:rsidRPr="002B727C">
              <w:t>emergency procedures, including:</w:t>
            </w:r>
          </w:p>
          <w:p w:rsidR="00000000" w:rsidRPr="002B727C" w:rsidP="002B727C">
            <w:pPr>
              <w:pStyle w:val="ListBullet2"/>
            </w:pPr>
            <w:r w:rsidRPr="002B727C">
              <w:t>evacuation</w:t>
            </w:r>
          </w:p>
          <w:p w:rsidR="00000000" w:rsidRPr="002B727C" w:rsidP="002B727C">
            <w:pPr>
              <w:pStyle w:val="ListBullet2"/>
            </w:pPr>
            <w:r w:rsidRPr="002B727C">
              <w:t>first aid</w:t>
            </w:r>
          </w:p>
          <w:p w:rsidR="00000000" w:rsidRPr="002B727C" w:rsidP="002B727C">
            <w:pPr>
              <w:pStyle w:val="ListBullet2"/>
            </w:pPr>
            <w:r w:rsidRPr="002B727C">
              <w:t xml:space="preserve">location and use of firefighting </w:t>
            </w:r>
            <w:r w:rsidRPr="002B727C">
              <w:t>equipment</w:t>
            </w:r>
          </w:p>
          <w:p w:rsidR="00000000" w:rsidRPr="002B727C" w:rsidP="002B727C">
            <w:pPr>
              <w:pStyle w:val="ListBullet"/>
            </w:pPr>
            <w:r w:rsidRPr="002B727C">
              <w:t>hazard identification and risk control procedures</w:t>
            </w:r>
          </w:p>
          <w:p w:rsidR="00000000" w:rsidRPr="002B727C" w:rsidP="002B727C">
            <w:pPr>
              <w:pStyle w:val="ListBullet"/>
            </w:pPr>
            <w:r w:rsidRPr="002B727C">
              <w:t>safe operating procedures, including the conduct of operational risk assessment and treatments associated with:</w:t>
            </w:r>
          </w:p>
          <w:p w:rsidR="00000000" w:rsidRPr="002B727C" w:rsidP="002B727C">
            <w:pPr>
              <w:pStyle w:val="ListBullet2"/>
            </w:pPr>
            <w:r w:rsidRPr="002B727C">
              <w:t>lighting</w:t>
            </w:r>
          </w:p>
          <w:p w:rsidR="00000000" w:rsidRPr="002B727C" w:rsidP="002B727C">
            <w:pPr>
              <w:pStyle w:val="ListBullet2"/>
            </w:pPr>
            <w:r w:rsidRPr="002B727C">
              <w:t>use of machines</w:t>
            </w:r>
          </w:p>
          <w:p w:rsidR="00000000" w:rsidRPr="002B727C" w:rsidP="002B727C">
            <w:pPr>
              <w:pStyle w:val="ListBullet2"/>
            </w:pPr>
            <w:r w:rsidRPr="002B727C">
              <w:t>use of tools and equipment</w:t>
            </w:r>
          </w:p>
          <w:p w:rsidR="00000000" w:rsidRPr="002B727C" w:rsidP="002B727C">
            <w:pPr>
              <w:pStyle w:val="ListBullet"/>
            </w:pPr>
            <w:r w:rsidRPr="002B727C">
              <w:t>workplace environmental requirements.</w:t>
            </w:r>
          </w:p>
          <w:p w:rsidR="00000000" w:rsidP="002B727C">
            <w:pPr>
              <w:pStyle w:val="BodyText"/>
              <w:rPr>
                <w:lang w:val="en-NZ"/>
              </w:rPr>
            </w:pPr>
          </w:p>
        </w:tc>
      </w:tr>
      <w:tr w:rsidTr="002B727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2B727C">
            <w:pPr>
              <w:pStyle w:val="BodyText"/>
              <w:rPr>
                <w:lang w:val="en-NZ"/>
              </w:rPr>
            </w:pPr>
            <w:r w:rsidRPr="002B727C">
              <w:rPr>
                <w:rStyle w:val="BoldandItalics"/>
              </w:rPr>
              <w:t>Tools and equipment</w:t>
            </w:r>
            <w:r w:rsidRPr="002B727C">
              <w:t xml:space="preserve"> must include at least two of the following:</w:t>
            </w:r>
          </w:p>
        </w:tc>
        <w:tc>
          <w:tcPr>
            <w:tcW w:w="6723" w:type="dxa"/>
            <w:tcBorders>
              <w:top w:val="nil"/>
              <w:left w:val="nil"/>
              <w:bottom w:val="nil"/>
              <w:right w:val="nil"/>
            </w:tcBorders>
            <w:tcMar>
              <w:top w:w="0" w:type="dxa"/>
              <w:left w:w="62" w:type="dxa"/>
              <w:bottom w:w="0" w:type="dxa"/>
              <w:right w:w="62" w:type="dxa"/>
            </w:tcMar>
          </w:tcPr>
          <w:p w:rsidR="00000000" w:rsidRPr="002B727C" w:rsidP="002B727C">
            <w:pPr>
              <w:pStyle w:val="ListBullet"/>
            </w:pPr>
            <w:r w:rsidRPr="002B727C">
              <w:t>cotton wool or velvet</w:t>
            </w:r>
          </w:p>
          <w:p w:rsidR="00000000" w:rsidRPr="002B727C" w:rsidP="002B727C">
            <w:pPr>
              <w:pStyle w:val="ListBullet"/>
            </w:pPr>
            <w:r w:rsidRPr="002B727C">
              <w:t>gelatine</w:t>
            </w:r>
          </w:p>
          <w:p w:rsidR="00000000" w:rsidRPr="002B727C" w:rsidP="002B727C">
            <w:pPr>
              <w:pStyle w:val="ListBullet"/>
            </w:pPr>
            <w:r w:rsidRPr="002B727C">
              <w:t>gilder’s pad</w:t>
            </w:r>
          </w:p>
          <w:p w:rsidR="00000000" w:rsidRPr="002B727C" w:rsidP="002B727C">
            <w:pPr>
              <w:pStyle w:val="ListBullet"/>
            </w:pPr>
            <w:r w:rsidRPr="002B727C">
              <w:t>gilding knife</w:t>
            </w:r>
          </w:p>
          <w:p w:rsidR="00000000" w:rsidRPr="002B727C" w:rsidP="002B727C">
            <w:pPr>
              <w:pStyle w:val="ListBullet"/>
            </w:pPr>
            <w:r w:rsidRPr="002B727C">
              <w:t>gilding mop</w:t>
            </w:r>
          </w:p>
          <w:p w:rsidR="00000000" w:rsidRPr="002B727C" w:rsidP="002B727C">
            <w:pPr>
              <w:pStyle w:val="ListBullet"/>
            </w:pPr>
            <w:r w:rsidRPr="002B727C">
              <w:t>gilding mug</w:t>
            </w:r>
          </w:p>
          <w:p w:rsidR="00000000" w:rsidRPr="002B727C" w:rsidP="002B727C">
            <w:pPr>
              <w:pStyle w:val="ListBullet"/>
            </w:pPr>
            <w:r w:rsidRPr="002B727C">
              <w:t>gilding tip</w:t>
            </w:r>
          </w:p>
          <w:p w:rsidR="00000000" w:rsidRPr="002B727C" w:rsidP="002B727C">
            <w:pPr>
              <w:pStyle w:val="ListBullet"/>
            </w:pPr>
            <w:r w:rsidRPr="002B727C">
              <w:t>heating pots</w:t>
            </w:r>
          </w:p>
          <w:p w:rsidR="00000000" w:rsidRPr="002B727C" w:rsidP="002B727C">
            <w:pPr>
              <w:pStyle w:val="ListBullet"/>
            </w:pPr>
            <w:r w:rsidRPr="002B727C">
              <w:t>stove.</w:t>
            </w:r>
          </w:p>
          <w:p w:rsidR="00000000" w:rsidRPr="002B727C" w:rsidP="002B727C">
            <w:pPr>
              <w:pStyle w:val="BodyText"/>
            </w:pPr>
          </w:p>
        </w:tc>
      </w:tr>
    </w:tbl>
    <w:p w:rsidR="00000000" w:rsidRPr="002B727C" w:rsidP="002B727C">
      <w:pPr>
        <w:pStyle w:val="BodyText"/>
      </w:pPr>
    </w:p>
    <w:p w:rsidR="00000000" w:rsidRPr="002B727C" w:rsidP="002B727C">
      <w:pPr>
        <w:pStyle w:val="AllowPageBreak"/>
      </w:pPr>
    </w:p>
    <w:p w:rsidR="00000000" w:rsidRPr="002B727C" w:rsidP="002B727C">
      <w:pPr>
        <w:pStyle w:val="Heading1"/>
      </w:pPr>
      <w:bookmarkStart w:id="9" w:name="O_1155643"/>
      <w:bookmarkEnd w:id="9"/>
      <w:r w:rsidRPr="002B727C">
        <w:t>Unit Mapping Information</w:t>
      </w:r>
    </w:p>
    <w:p w:rsidR="00000000" w:rsidRPr="002B727C" w:rsidP="00933203">
      <w:pPr>
        <w:pStyle w:val="BodyText"/>
      </w:pPr>
      <w:r w:rsidRPr="002B727C">
        <w:t>CPCCSI3006A Apply gilding to signage</w:t>
      </w:r>
    </w:p>
    <w:p w:rsidR="00000000" w:rsidRPr="002B727C" w:rsidP="002B727C">
      <w:pPr>
        <w:pStyle w:val="Heading1"/>
      </w:pPr>
      <w:bookmarkStart w:id="10" w:name="O_1155652"/>
      <w:bookmarkEnd w:id="10"/>
      <w:r w:rsidRPr="002B727C">
        <w:t>Links</w:t>
      </w:r>
    </w:p>
    <w:p w:rsidR="00000000" w:rsidRPr="002B727C" w:rsidP="00933203">
      <w:pPr>
        <w:pStyle w:val="BodyText"/>
      </w:pPr>
      <w:r w:rsidRPr="002B727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22631">
        <w:rPr>
          <w:rStyle w:val="Hyperlink"/>
        </w:rPr>
        <w:t>https://vetnet.gov.au/Pages/TrainingDocs.aspx?q=7e15fa6a-68b8-4097-b099-030a5569b1ad</w:t>
      </w:r>
      <w:r>
        <w:fldChar w:fldCharType="end"/>
      </w:r>
    </w:p>
    <w:p w:rsidR="00000000" w:rsidRPr="002B727C" w:rsidP="002B727C"/>
    <w:sectPr w:rsidSect="002B72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7C" w:rsidRPr="00933203" w:rsidP="00933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203" w:rsidP="002B7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203" w:rsidP="002B72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33203" w:rsidP="002B7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27C" w:rsidRPr="00933203" w:rsidP="00933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203" w:rsidRPr="002D2AF8" w:rsidP="002B727C">
    <w:pPr>
      <w:pStyle w:val="Header"/>
      <w:framePr w:wrap="around"/>
    </w:pPr>
    <w:r>
      <w:fldChar w:fldCharType="begin"/>
    </w:r>
    <w:r>
      <w:instrText xml:space="preserve"> TITLE   \* MERGEFORMAT </w:instrText>
    </w:r>
    <w:r>
      <w:fldChar w:fldCharType="separate"/>
    </w:r>
    <w:r>
      <w:t>CPCCSG3006 Apply gilding to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33203" w:rsidP="002B7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A0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A9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8C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27C"/>
    <w:pPr>
      <w:spacing w:before="360" w:after="60"/>
      <w:outlineLvl w:val="0"/>
    </w:pPr>
    <w:rPr>
      <w:sz w:val="32"/>
    </w:rPr>
  </w:style>
  <w:style w:type="paragraph" w:styleId="Heading2">
    <w:name w:val="heading 2"/>
    <w:basedOn w:val="HeadingBase"/>
    <w:next w:val="BodyText"/>
    <w:link w:val="Heading2Char"/>
    <w:qFormat/>
    <w:rsid w:val="002B727C"/>
    <w:pPr>
      <w:keepLines/>
      <w:spacing w:before="240" w:after="120"/>
      <w:outlineLvl w:val="1"/>
    </w:pPr>
    <w:rPr>
      <w:sz w:val="28"/>
      <w:szCs w:val="40"/>
    </w:rPr>
  </w:style>
  <w:style w:type="paragraph" w:styleId="Heading3">
    <w:name w:val="heading 3"/>
    <w:basedOn w:val="HeadingBase"/>
    <w:next w:val="BodyText"/>
    <w:link w:val="Heading3Char"/>
    <w:qFormat/>
    <w:rsid w:val="002B727C"/>
    <w:pPr>
      <w:spacing w:before="180" w:after="120"/>
      <w:outlineLvl w:val="2"/>
    </w:pPr>
    <w:rPr>
      <w:spacing w:val="-10"/>
      <w:kern w:val="32"/>
    </w:rPr>
  </w:style>
  <w:style w:type="paragraph" w:styleId="Heading4">
    <w:name w:val="heading 4"/>
    <w:basedOn w:val="HeadingBase"/>
    <w:next w:val="BodyText"/>
    <w:link w:val="Heading4Char"/>
    <w:qFormat/>
    <w:rsid w:val="002B727C"/>
    <w:pPr>
      <w:spacing w:before="160" w:after="120"/>
      <w:outlineLvl w:val="3"/>
    </w:pPr>
    <w:rPr>
      <w:sz w:val="22"/>
    </w:rPr>
  </w:style>
  <w:style w:type="paragraph" w:styleId="Heading5">
    <w:name w:val="heading 5"/>
    <w:basedOn w:val="HeadingBase"/>
    <w:next w:val="Normal"/>
    <w:link w:val="Heading5Char"/>
    <w:qFormat/>
    <w:rsid w:val="002B727C"/>
    <w:pPr>
      <w:spacing w:before="80"/>
      <w:outlineLvl w:val="4"/>
    </w:pPr>
    <w:rPr>
      <w:color w:val="918585"/>
      <w:sz w:val="20"/>
    </w:rPr>
  </w:style>
  <w:style w:type="paragraph" w:styleId="Heading6">
    <w:name w:val="heading 6"/>
    <w:basedOn w:val="HeadingBase"/>
    <w:next w:val="Normal"/>
    <w:link w:val="Heading6Char"/>
    <w:qFormat/>
    <w:rsid w:val="002B727C"/>
    <w:pPr>
      <w:spacing w:before="60"/>
      <w:outlineLvl w:val="5"/>
    </w:pPr>
    <w:rPr>
      <w:color w:val="918585"/>
      <w:sz w:val="20"/>
    </w:rPr>
  </w:style>
  <w:style w:type="paragraph" w:styleId="Heading7">
    <w:name w:val="heading 7"/>
    <w:basedOn w:val="Normal"/>
    <w:next w:val="Normal"/>
    <w:link w:val="Heading7Char"/>
    <w:qFormat/>
    <w:rsid w:val="002B727C"/>
    <w:pPr>
      <w:ind w:left="720"/>
      <w:outlineLvl w:val="6"/>
    </w:pPr>
    <w:rPr>
      <w:i/>
    </w:rPr>
  </w:style>
  <w:style w:type="paragraph" w:styleId="Heading8">
    <w:name w:val="heading 8"/>
    <w:basedOn w:val="Normal"/>
    <w:next w:val="Normal"/>
    <w:link w:val="Heading8Char"/>
    <w:qFormat/>
    <w:rsid w:val="002B727C"/>
    <w:pPr>
      <w:ind w:left="720"/>
      <w:outlineLvl w:val="7"/>
    </w:pPr>
    <w:rPr>
      <w:i/>
    </w:rPr>
  </w:style>
  <w:style w:type="paragraph" w:styleId="Heading9">
    <w:name w:val="heading 9"/>
    <w:basedOn w:val="Normal"/>
    <w:next w:val="Normal"/>
    <w:link w:val="Heading9Char"/>
    <w:qFormat/>
    <w:rsid w:val="002B727C"/>
    <w:pPr>
      <w:ind w:left="720"/>
      <w:outlineLvl w:val="8"/>
    </w:pPr>
    <w:rPr>
      <w:i/>
    </w:rPr>
  </w:style>
  <w:style w:type="character" w:default="1" w:styleId="DefaultParagraphFont">
    <w:name w:val="Default Paragraph Font"/>
    <w:uiPriority w:val="1"/>
    <w:unhideWhenUsed/>
    <w:rsid w:val="002B7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27C"/>
  </w:style>
  <w:style w:type="character" w:customStyle="1" w:styleId="Heading1Char">
    <w:name w:val="Heading 1 Char"/>
    <w:basedOn w:val="DefaultParagraphFont"/>
    <w:link w:val="Heading1"/>
    <w:rsid w:val="002B727C"/>
    <w:rPr>
      <w:rFonts w:ascii="Times New Roman" w:eastAsia="Times New Roman" w:hAnsi="Times New Roman" w:cs="Times New Roman"/>
      <w:b/>
      <w:sz w:val="32"/>
      <w:szCs w:val="20"/>
      <w:lang w:eastAsia="en-US"/>
    </w:rPr>
  </w:style>
  <w:style w:type="paragraph" w:styleId="BodyText">
    <w:name w:val="Body Text"/>
    <w:basedOn w:val="Normal"/>
    <w:link w:val="BodyTextChar"/>
    <w:rsid w:val="002B7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27C"/>
    <w:rPr>
      <w:rFonts w:ascii="Times New Roman" w:eastAsia="Times New Roman" w:hAnsi="Times New Roman" w:cs="Times New Roman"/>
      <w:sz w:val="24"/>
      <w:lang w:eastAsia="en-US"/>
    </w:rPr>
  </w:style>
  <w:style w:type="paragraph" w:styleId="ListBullet">
    <w:name w:val="List Bullet"/>
    <w:basedOn w:val="List"/>
    <w:rsid w:val="002B727C"/>
    <w:pPr>
      <w:numPr>
        <w:numId w:val="12"/>
      </w:numPr>
      <w:tabs>
        <w:tab w:val="clear" w:pos="340"/>
      </w:tabs>
      <w:spacing w:before="40" w:after="40"/>
    </w:pPr>
  </w:style>
  <w:style w:type="character" w:customStyle="1" w:styleId="SpecialBold">
    <w:name w:val="Special Bold"/>
    <w:basedOn w:val="DefaultParagraphFont"/>
    <w:rsid w:val="002B727C"/>
    <w:rPr>
      <w:b/>
      <w:spacing w:val="0"/>
    </w:rPr>
  </w:style>
  <w:style w:type="paragraph" w:styleId="ListBullet2">
    <w:name w:val="List Bullet 2"/>
    <w:basedOn w:val="List2"/>
    <w:rsid w:val="002B727C"/>
    <w:pPr>
      <w:numPr>
        <w:numId w:val="13"/>
      </w:numPr>
      <w:tabs>
        <w:tab w:val="clear" w:pos="680"/>
      </w:tabs>
    </w:pPr>
  </w:style>
  <w:style w:type="character" w:styleId="Emphasis">
    <w:name w:val="Emphasis"/>
    <w:basedOn w:val="DefaultParagraphFont"/>
    <w:qFormat/>
    <w:rsid w:val="002B727C"/>
    <w:rPr>
      <w:i/>
    </w:rPr>
  </w:style>
  <w:style w:type="paragraph" w:customStyle="1" w:styleId="SuperHeading">
    <w:name w:val="SuperHeading"/>
    <w:basedOn w:val="Normal"/>
    <w:rsid w:val="002B727C"/>
    <w:pPr>
      <w:spacing w:before="240" w:after="120"/>
      <w:outlineLvl w:val="0"/>
    </w:pPr>
    <w:rPr>
      <w:rFonts w:ascii="Times New Roman" w:hAnsi="Times New Roman"/>
      <w:b/>
      <w:sz w:val="32"/>
    </w:rPr>
  </w:style>
  <w:style w:type="paragraph" w:customStyle="1" w:styleId="AllowPageBreak">
    <w:name w:val="AllowPageBreak"/>
    <w:rsid w:val="002B7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727C"/>
    <w:rPr>
      <w:b/>
      <w:i/>
      <w:u w:val="none"/>
    </w:rPr>
  </w:style>
  <w:style w:type="character" w:customStyle="1" w:styleId="Heading2Char">
    <w:name w:val="Heading 2 Char"/>
    <w:basedOn w:val="DefaultParagraphFont"/>
    <w:link w:val="Heading2"/>
    <w:rsid w:val="002B7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27C"/>
    <w:rPr>
      <w:rFonts w:ascii="Courier New" w:eastAsia="Times New Roman" w:hAnsi="Courier New" w:cs="Times New Roman"/>
      <w:i/>
      <w:szCs w:val="20"/>
      <w:lang w:eastAsia="en-US"/>
    </w:rPr>
  </w:style>
  <w:style w:type="paragraph" w:customStyle="1" w:styleId="HeadingBase">
    <w:name w:val="Heading Base"/>
    <w:rsid w:val="002B7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27C"/>
    <w:pPr>
      <w:tabs>
        <w:tab w:val="right" w:leader="dot" w:pos="9072"/>
      </w:tabs>
      <w:ind w:left="567"/>
    </w:pPr>
    <w:rPr>
      <w:szCs w:val="22"/>
    </w:rPr>
  </w:style>
  <w:style w:type="paragraph" w:customStyle="1" w:styleId="TOCBase">
    <w:name w:val="TOC Base"/>
    <w:rsid w:val="002B7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27C"/>
    <w:pPr>
      <w:tabs>
        <w:tab w:val="right" w:leader="dot" w:pos="9072"/>
      </w:tabs>
      <w:spacing w:before="40" w:after="40"/>
      <w:ind w:left="284"/>
    </w:pPr>
    <w:rPr>
      <w:rFonts w:ascii="Times New Roman" w:hAnsi="Times New Roman"/>
    </w:rPr>
  </w:style>
  <w:style w:type="paragraph" w:styleId="TOC1">
    <w:name w:val="toc 1"/>
    <w:basedOn w:val="TOCBase"/>
    <w:next w:val="Normal"/>
    <w:rsid w:val="002B7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27C"/>
    <w:rPr>
      <w:rFonts w:ascii="Times New Roman" w:eastAsia="Times New Roman" w:hAnsi="Times New Roman" w:cs="Times New Roman"/>
      <w:sz w:val="16"/>
      <w:lang w:eastAsia="en-US"/>
    </w:rPr>
  </w:style>
  <w:style w:type="paragraph" w:styleId="Title">
    <w:name w:val="Title"/>
    <w:basedOn w:val="HeadingBase"/>
    <w:link w:val="TitleChar"/>
    <w:qFormat/>
    <w:rsid w:val="002B727C"/>
    <w:pPr>
      <w:spacing w:before="5040"/>
      <w:jc w:val="center"/>
    </w:pPr>
    <w:rPr>
      <w:sz w:val="48"/>
      <w:szCs w:val="72"/>
      <w:lang w:val="en-US"/>
    </w:rPr>
  </w:style>
  <w:style w:type="character" w:customStyle="1" w:styleId="TitleChar">
    <w:name w:val="Title Char"/>
    <w:basedOn w:val="DefaultParagraphFont"/>
    <w:link w:val="Title"/>
    <w:rsid w:val="002B7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27C"/>
    <w:pPr>
      <w:tabs>
        <w:tab w:val="left" w:pos="3600"/>
        <w:tab w:val="left" w:pos="3958"/>
      </w:tabs>
    </w:pPr>
  </w:style>
  <w:style w:type="paragraph" w:styleId="List">
    <w:name w:val="List"/>
    <w:basedOn w:val="BodyText"/>
    <w:next w:val="BodyText"/>
    <w:rsid w:val="002B727C"/>
    <w:pPr>
      <w:tabs>
        <w:tab w:val="left" w:pos="340"/>
      </w:tabs>
      <w:spacing w:before="60" w:after="60"/>
      <w:ind w:left="340" w:hanging="340"/>
    </w:pPr>
  </w:style>
  <w:style w:type="paragraph" w:customStyle="1" w:styleId="Note">
    <w:name w:val="Note"/>
    <w:basedOn w:val="BodyText"/>
    <w:rsid w:val="002B7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27C"/>
    <w:pPr>
      <w:framePr w:wrap="auto" w:hAnchor="text" w:y="6049"/>
    </w:pPr>
    <w:rPr>
      <w:color w:val="000000"/>
      <w:sz w:val="40"/>
    </w:rPr>
  </w:style>
  <w:style w:type="paragraph" w:customStyle="1" w:styleId="TOCTitle">
    <w:name w:val="TOCTitle"/>
    <w:basedOn w:val="Heading1"/>
    <w:rsid w:val="002B727C"/>
    <w:pPr>
      <w:spacing w:after="240"/>
      <w:jc w:val="center"/>
      <w:outlineLvl w:val="9"/>
    </w:pPr>
    <w:rPr>
      <w:caps/>
    </w:rPr>
  </w:style>
  <w:style w:type="paragraph" w:customStyle="1" w:styleId="Version">
    <w:name w:val="Version"/>
    <w:rsid w:val="002B7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27C"/>
    <w:pPr>
      <w:keepNext w:val="0"/>
      <w:tabs>
        <w:tab w:val="right" w:pos="4176"/>
      </w:tabs>
      <w:ind w:left="198" w:hanging="198"/>
    </w:pPr>
    <w:rPr>
      <w:rFonts w:ascii="Garamond" w:hAnsi="Garamond"/>
    </w:rPr>
  </w:style>
  <w:style w:type="paragraph" w:styleId="IndexHeading">
    <w:name w:val="index heading"/>
    <w:basedOn w:val="Normal"/>
    <w:next w:val="Index1"/>
    <w:semiHidden/>
    <w:rsid w:val="002B727C"/>
    <w:pPr>
      <w:spacing w:before="120" w:after="120"/>
    </w:pPr>
    <w:rPr>
      <w:rFonts w:ascii="Arial" w:hAnsi="Arial"/>
      <w:b/>
      <w:color w:val="918585"/>
      <w:sz w:val="24"/>
    </w:rPr>
  </w:style>
  <w:style w:type="paragraph" w:styleId="Header">
    <w:name w:val="header"/>
    <w:basedOn w:val="Normal"/>
    <w:link w:val="HeaderChar"/>
    <w:rsid w:val="002B7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27C"/>
    <w:rPr>
      <w:rFonts w:ascii="Times New Roman" w:eastAsia="Times New Roman" w:hAnsi="Times New Roman" w:cs="Times New Roman"/>
      <w:sz w:val="16"/>
      <w:szCs w:val="20"/>
      <w:lang w:val="en-GB" w:eastAsia="en-US"/>
    </w:rPr>
  </w:style>
  <w:style w:type="paragraph" w:customStyle="1" w:styleId="Chapter">
    <w:name w:val="Chapter"/>
    <w:basedOn w:val="Normal"/>
    <w:rsid w:val="002B727C"/>
    <w:pPr>
      <w:spacing w:before="240"/>
    </w:pPr>
    <w:rPr>
      <w:rFonts w:ascii="Times New Roman" w:hAnsi="Times New Roman"/>
      <w:smallCaps/>
      <w:spacing w:val="80"/>
      <w:sz w:val="28"/>
    </w:rPr>
  </w:style>
  <w:style w:type="paragraph" w:customStyle="1" w:styleId="InChapter">
    <w:name w:val="InChapter"/>
    <w:basedOn w:val="Heading3"/>
    <w:rsid w:val="002B727C"/>
    <w:pPr>
      <w:spacing w:after="240"/>
      <w:outlineLvl w:val="9"/>
    </w:pPr>
    <w:rPr>
      <w:noProof/>
    </w:rPr>
  </w:style>
  <w:style w:type="paragraph" w:styleId="Index2">
    <w:name w:val="index 2"/>
    <w:basedOn w:val="Normal"/>
    <w:next w:val="Normal"/>
    <w:semiHidden/>
    <w:rsid w:val="002B727C"/>
    <w:pPr>
      <w:tabs>
        <w:tab w:val="right" w:pos="4176"/>
      </w:tabs>
      <w:ind w:left="568" w:hanging="284"/>
    </w:pPr>
    <w:rPr>
      <w:rFonts w:ascii="Garamond" w:hAnsi="Garamond"/>
    </w:rPr>
  </w:style>
  <w:style w:type="paragraph" w:customStyle="1" w:styleId="Byline">
    <w:name w:val="Byline"/>
    <w:rsid w:val="002B7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27C"/>
    <w:pPr>
      <w:tabs>
        <w:tab w:val="clear" w:pos="3600"/>
        <w:tab w:val="clear" w:pos="3958"/>
      </w:tabs>
      <w:jc w:val="right"/>
    </w:pPr>
  </w:style>
  <w:style w:type="paragraph" w:styleId="Caption">
    <w:name w:val="caption"/>
    <w:basedOn w:val="BodyText"/>
    <w:next w:val="Normal"/>
    <w:qFormat/>
    <w:rsid w:val="002B727C"/>
    <w:pPr>
      <w:framePr w:w="2268" w:hSpace="181" w:vSpace="181" w:wrap="around" w:vAnchor="text" w:hAnchor="page" w:x="1135" w:y="285" w:anchorLock="1"/>
    </w:pPr>
    <w:rPr>
      <w:i/>
    </w:rPr>
  </w:style>
  <w:style w:type="paragraph" w:customStyle="1" w:styleId="MiniTOCTitle">
    <w:name w:val="MiniTOCTitle"/>
    <w:basedOn w:val="Heading4"/>
    <w:rsid w:val="002B727C"/>
    <w:pPr>
      <w:spacing w:before="240"/>
      <w:outlineLvl w:val="9"/>
    </w:pPr>
    <w:rPr>
      <w:noProof/>
      <w:sz w:val="24"/>
    </w:rPr>
  </w:style>
  <w:style w:type="paragraph" w:customStyle="1" w:styleId="MiniTOCItem">
    <w:name w:val="MiniTOCItem"/>
    <w:basedOn w:val="ListBullet"/>
    <w:rsid w:val="002B727C"/>
    <w:pPr>
      <w:numPr>
        <w:numId w:val="0"/>
      </w:numPr>
      <w:tabs>
        <w:tab w:val="right" w:leader="dot" w:pos="6521"/>
      </w:tabs>
      <w:spacing w:before="0" w:after="0"/>
    </w:pPr>
  </w:style>
  <w:style w:type="paragraph" w:customStyle="1" w:styleId="TOFTitle">
    <w:name w:val="TOFTitle"/>
    <w:basedOn w:val="TOCTitle"/>
    <w:rsid w:val="002B727C"/>
  </w:style>
  <w:style w:type="paragraph" w:styleId="TableofFigures">
    <w:name w:val="table of figures"/>
    <w:basedOn w:val="Normal"/>
    <w:next w:val="Normal"/>
    <w:semiHidden/>
    <w:rsid w:val="002B727C"/>
    <w:pPr>
      <w:tabs>
        <w:tab w:val="right" w:leader="dot" w:pos="9072"/>
      </w:tabs>
      <w:ind w:left="970" w:hanging="403"/>
    </w:pPr>
    <w:rPr>
      <w:rFonts w:ascii="Times New Roman" w:hAnsi="Times New Roman"/>
      <w:b/>
    </w:rPr>
  </w:style>
  <w:style w:type="paragraph" w:styleId="ListNumber">
    <w:name w:val="List Number"/>
    <w:basedOn w:val="List"/>
    <w:rsid w:val="002B727C"/>
    <w:pPr>
      <w:numPr>
        <w:numId w:val="15"/>
      </w:numPr>
      <w:tabs>
        <w:tab w:val="clear" w:pos="340"/>
      </w:tabs>
    </w:pPr>
  </w:style>
  <w:style w:type="character" w:customStyle="1" w:styleId="WingdingSymbols">
    <w:name w:val="Wingding Symbols"/>
    <w:rsid w:val="002B727C"/>
    <w:rPr>
      <w:rFonts w:ascii="Wingdings" w:hAnsi="Wingdings"/>
    </w:rPr>
  </w:style>
  <w:style w:type="paragraph" w:customStyle="1" w:styleId="TableHeading">
    <w:name w:val="Table Heading"/>
    <w:basedOn w:val="HeadingBase"/>
    <w:rsid w:val="002B727C"/>
    <w:pPr>
      <w:keepLines/>
      <w:pBdr>
        <w:bottom w:val="single" w:sz="6" w:space="1" w:color="918585"/>
      </w:pBdr>
      <w:spacing w:before="240"/>
    </w:pPr>
  </w:style>
  <w:style w:type="character" w:customStyle="1" w:styleId="HotSpot">
    <w:name w:val="HotSpot"/>
    <w:rsid w:val="002B727C"/>
    <w:rPr>
      <w:color w:val="0033CC"/>
      <w:u w:val="none"/>
    </w:rPr>
  </w:style>
  <w:style w:type="paragraph" w:customStyle="1" w:styleId="BodyTextRight">
    <w:name w:val="Body Text Right"/>
    <w:basedOn w:val="BodyText"/>
    <w:rsid w:val="002B727C"/>
    <w:pPr>
      <w:spacing w:before="0" w:after="0"/>
      <w:jc w:val="right"/>
    </w:pPr>
  </w:style>
  <w:style w:type="paragraph" w:styleId="Index3">
    <w:name w:val="index 3"/>
    <w:basedOn w:val="ListNumber2"/>
    <w:next w:val="Normal"/>
    <w:semiHidden/>
    <w:rsid w:val="002B727C"/>
    <w:pPr>
      <w:numPr>
        <w:numId w:val="0"/>
      </w:numPr>
      <w:tabs>
        <w:tab w:val="right" w:leader="dot" w:pos="4176"/>
      </w:tabs>
    </w:pPr>
  </w:style>
  <w:style w:type="paragraph" w:styleId="ListNumber2">
    <w:name w:val="List Number 2"/>
    <w:basedOn w:val="List2"/>
    <w:rsid w:val="002B727C"/>
    <w:pPr>
      <w:numPr>
        <w:numId w:val="10"/>
      </w:numPr>
      <w:tabs>
        <w:tab w:val="clear" w:pos="1060"/>
      </w:tabs>
    </w:pPr>
  </w:style>
  <w:style w:type="paragraph" w:customStyle="1" w:styleId="MarginNote">
    <w:name w:val="Margin Note"/>
    <w:basedOn w:val="BodyText"/>
    <w:rsid w:val="002B7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27C"/>
    <w:rPr>
      <w:sz w:val="32"/>
    </w:rPr>
  </w:style>
  <w:style w:type="paragraph" w:customStyle="1" w:styleId="HeadingProcedure">
    <w:name w:val="Heading Procedure"/>
    <w:basedOn w:val="HeadingBase"/>
    <w:next w:val="Normal"/>
    <w:rsid w:val="002B727C"/>
    <w:pPr>
      <w:tabs>
        <w:tab w:val="left" w:pos="0"/>
      </w:tabs>
      <w:spacing w:before="120" w:after="60"/>
    </w:pPr>
    <w:rPr>
      <w:i/>
      <w:color w:val="918585"/>
      <w:sz w:val="22"/>
    </w:rPr>
  </w:style>
  <w:style w:type="paragraph" w:customStyle="1" w:styleId="TableBodyText">
    <w:name w:val="Table Body Text"/>
    <w:basedOn w:val="BodyText"/>
    <w:rsid w:val="002B727C"/>
    <w:pPr>
      <w:spacing w:before="60" w:after="60"/>
    </w:pPr>
  </w:style>
  <w:style w:type="paragraph" w:styleId="ListContinue">
    <w:name w:val="List Continue"/>
    <w:basedOn w:val="List"/>
    <w:rsid w:val="002B727C"/>
    <w:pPr>
      <w:ind w:firstLine="0"/>
    </w:pPr>
  </w:style>
  <w:style w:type="paragraph" w:customStyle="1" w:styleId="ListNote">
    <w:name w:val="List Note"/>
    <w:basedOn w:val="List"/>
    <w:rsid w:val="002B727C"/>
    <w:pPr>
      <w:pBdr>
        <w:top w:val="single" w:sz="6" w:space="2" w:color="918585"/>
        <w:bottom w:val="single" w:sz="6" w:space="2" w:color="918585"/>
      </w:pBdr>
      <w:tabs>
        <w:tab w:val="left" w:pos="1021"/>
      </w:tabs>
      <w:ind w:firstLine="0"/>
    </w:pPr>
  </w:style>
  <w:style w:type="paragraph" w:customStyle="1" w:styleId="Warning">
    <w:name w:val="Warning"/>
    <w:basedOn w:val="BodyText"/>
    <w:rsid w:val="002B727C"/>
    <w:pPr>
      <w:shd w:val="clear" w:color="auto" w:fill="D9D9D9"/>
      <w:tabs>
        <w:tab w:val="left" w:pos="992"/>
      </w:tabs>
      <w:ind w:left="119" w:right="119"/>
    </w:pPr>
    <w:rPr>
      <w:sz w:val="20"/>
    </w:rPr>
  </w:style>
  <w:style w:type="paragraph" w:customStyle="1" w:styleId="MarginIcons">
    <w:name w:val="Margin Icons"/>
    <w:basedOn w:val="BodyText"/>
    <w:rsid w:val="002B7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27C"/>
    <w:rPr>
      <w:rFonts w:ascii="Courier New" w:hAnsi="Courier New"/>
    </w:rPr>
  </w:style>
  <w:style w:type="paragraph" w:customStyle="1" w:styleId="NoteBullet">
    <w:name w:val="Note Bullet"/>
    <w:basedOn w:val="Note"/>
    <w:rsid w:val="002B727C"/>
    <w:pPr>
      <w:tabs>
        <w:tab w:val="clear" w:pos="680"/>
      </w:tabs>
      <w:spacing w:before="60" w:after="60"/>
    </w:pPr>
  </w:style>
  <w:style w:type="paragraph" w:customStyle="1" w:styleId="SubHeading2">
    <w:name w:val="SubHeading2"/>
    <w:basedOn w:val="HeadingBase"/>
    <w:rsid w:val="002B727C"/>
    <w:pPr>
      <w:spacing w:before="240" w:after="60"/>
    </w:pPr>
    <w:rPr>
      <w:sz w:val="20"/>
    </w:rPr>
  </w:style>
  <w:style w:type="paragraph" w:customStyle="1" w:styleId="SubHeading1">
    <w:name w:val="SubHeading1"/>
    <w:basedOn w:val="HeadingBase"/>
    <w:rsid w:val="002B727C"/>
    <w:pPr>
      <w:spacing w:before="240" w:after="60"/>
    </w:pPr>
    <w:rPr>
      <w:color w:val="918585"/>
      <w:sz w:val="22"/>
    </w:rPr>
  </w:style>
  <w:style w:type="paragraph" w:customStyle="1" w:styleId="SideHeading">
    <w:name w:val="Side Heading"/>
    <w:basedOn w:val="HeadingBase"/>
    <w:rsid w:val="002B7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27C"/>
    <w:pPr>
      <w:tabs>
        <w:tab w:val="num" w:pos="360"/>
      </w:tabs>
    </w:pPr>
  </w:style>
  <w:style w:type="paragraph" w:styleId="PlainText">
    <w:name w:val="Plain Text"/>
    <w:basedOn w:val="Normal"/>
    <w:link w:val="PlainTextChar"/>
    <w:rsid w:val="002B727C"/>
    <w:rPr>
      <w:sz w:val="20"/>
    </w:rPr>
  </w:style>
  <w:style w:type="character" w:customStyle="1" w:styleId="PlainTextChar">
    <w:name w:val="Plain Text Char"/>
    <w:basedOn w:val="DefaultParagraphFont"/>
    <w:link w:val="PlainText"/>
    <w:rsid w:val="002B727C"/>
    <w:rPr>
      <w:rFonts w:ascii="Courier New" w:eastAsia="Times New Roman" w:hAnsi="Courier New" w:cs="Times New Roman"/>
      <w:sz w:val="20"/>
      <w:szCs w:val="20"/>
      <w:lang w:eastAsia="en-US"/>
    </w:rPr>
  </w:style>
  <w:style w:type="character" w:customStyle="1" w:styleId="MenuOption">
    <w:name w:val="Menu Option"/>
    <w:basedOn w:val="DefaultParagraphFont"/>
    <w:rsid w:val="002B727C"/>
    <w:rPr>
      <w:b/>
      <w:smallCaps/>
    </w:rPr>
  </w:style>
  <w:style w:type="paragraph" w:customStyle="1" w:styleId="TableListNumber">
    <w:name w:val="Table List Number"/>
    <w:basedOn w:val="ListNumber"/>
    <w:rsid w:val="002B727C"/>
    <w:pPr>
      <w:numPr>
        <w:numId w:val="0"/>
      </w:numPr>
    </w:pPr>
  </w:style>
  <w:style w:type="paragraph" w:styleId="TOC4">
    <w:name w:val="toc 4"/>
    <w:basedOn w:val="TOCBase"/>
    <w:next w:val="Normal"/>
    <w:semiHidden/>
    <w:rsid w:val="002B727C"/>
    <w:pPr>
      <w:tabs>
        <w:tab w:val="right" w:leader="dot" w:pos="9071"/>
      </w:tabs>
      <w:ind w:left="1701"/>
    </w:pPr>
  </w:style>
  <w:style w:type="paragraph" w:customStyle="1" w:styleId="ListAlpha">
    <w:name w:val="List Alpha"/>
    <w:basedOn w:val="List"/>
    <w:rsid w:val="002B727C"/>
    <w:pPr>
      <w:numPr>
        <w:numId w:val="9"/>
      </w:numPr>
    </w:pPr>
  </w:style>
  <w:style w:type="paragraph" w:customStyle="1" w:styleId="ListAlpha2">
    <w:name w:val="List Alpha 2"/>
    <w:basedOn w:val="List2"/>
    <w:rsid w:val="002B727C"/>
    <w:pPr>
      <w:numPr>
        <w:numId w:val="8"/>
      </w:numPr>
    </w:pPr>
  </w:style>
  <w:style w:type="paragraph" w:styleId="List2">
    <w:name w:val="List 2"/>
    <w:basedOn w:val="BodyText"/>
    <w:rsid w:val="002B727C"/>
    <w:pPr>
      <w:tabs>
        <w:tab w:val="left" w:pos="680"/>
      </w:tabs>
      <w:spacing w:before="60" w:after="60"/>
      <w:ind w:left="680" w:hanging="340"/>
    </w:pPr>
  </w:style>
  <w:style w:type="paragraph" w:styleId="List3">
    <w:name w:val="List 3"/>
    <w:basedOn w:val="BodyText"/>
    <w:rsid w:val="002B727C"/>
    <w:pPr>
      <w:tabs>
        <w:tab w:val="left" w:pos="1021"/>
      </w:tabs>
      <w:spacing w:before="60" w:after="60"/>
      <w:ind w:left="1020" w:hanging="340"/>
    </w:pPr>
  </w:style>
  <w:style w:type="paragraph" w:styleId="List4">
    <w:name w:val="List 4"/>
    <w:basedOn w:val="BodyText"/>
    <w:rsid w:val="002B727C"/>
    <w:pPr>
      <w:tabs>
        <w:tab w:val="left" w:pos="1361"/>
      </w:tabs>
      <w:spacing w:before="60" w:after="60"/>
      <w:ind w:left="1361" w:hanging="340"/>
    </w:pPr>
  </w:style>
  <w:style w:type="paragraph" w:styleId="List5">
    <w:name w:val="List 5"/>
    <w:basedOn w:val="BodyText"/>
    <w:rsid w:val="002B727C"/>
    <w:pPr>
      <w:tabs>
        <w:tab w:val="left" w:pos="1701"/>
      </w:tabs>
      <w:spacing w:before="60" w:after="60"/>
      <w:ind w:left="1701" w:hanging="340"/>
    </w:pPr>
  </w:style>
  <w:style w:type="paragraph" w:styleId="ListBullet3">
    <w:name w:val="List Bullet 3"/>
    <w:basedOn w:val="List3"/>
    <w:rsid w:val="002B727C"/>
    <w:pPr>
      <w:numPr>
        <w:numId w:val="14"/>
      </w:numPr>
      <w:tabs>
        <w:tab w:val="clear" w:pos="1021"/>
      </w:tabs>
      <w:ind w:left="1037" w:hanging="357"/>
    </w:pPr>
  </w:style>
  <w:style w:type="paragraph" w:styleId="ListBullet4">
    <w:name w:val="List Bullet 4"/>
    <w:basedOn w:val="List4"/>
    <w:rsid w:val="002B727C"/>
    <w:pPr>
      <w:numPr>
        <w:numId w:val="3"/>
      </w:numPr>
      <w:tabs>
        <w:tab w:val="clear" w:pos="1361"/>
      </w:tabs>
    </w:pPr>
  </w:style>
  <w:style w:type="paragraph" w:styleId="ListBullet5">
    <w:name w:val="List Bullet 5"/>
    <w:basedOn w:val="List5"/>
    <w:rsid w:val="002B727C"/>
    <w:pPr>
      <w:numPr>
        <w:numId w:val="4"/>
      </w:numPr>
    </w:pPr>
  </w:style>
  <w:style w:type="paragraph" w:styleId="ListContinue2">
    <w:name w:val="List Continue 2"/>
    <w:basedOn w:val="List2"/>
    <w:rsid w:val="002B727C"/>
    <w:pPr>
      <w:ind w:firstLine="0"/>
    </w:pPr>
  </w:style>
  <w:style w:type="paragraph" w:styleId="ListContinue3">
    <w:name w:val="List Continue 3"/>
    <w:basedOn w:val="List3"/>
    <w:rsid w:val="002B727C"/>
    <w:pPr>
      <w:ind w:left="1021" w:firstLine="0"/>
    </w:pPr>
  </w:style>
  <w:style w:type="paragraph" w:styleId="ListContinue4">
    <w:name w:val="List Continue 4"/>
    <w:basedOn w:val="List4"/>
    <w:rsid w:val="002B727C"/>
    <w:pPr>
      <w:ind w:firstLine="0"/>
    </w:pPr>
  </w:style>
  <w:style w:type="paragraph" w:styleId="ListContinue5">
    <w:name w:val="List Continue 5"/>
    <w:basedOn w:val="List5"/>
    <w:rsid w:val="002B727C"/>
    <w:pPr>
      <w:ind w:firstLine="0"/>
    </w:pPr>
  </w:style>
  <w:style w:type="paragraph" w:styleId="ListNumber3">
    <w:name w:val="List Number 3"/>
    <w:basedOn w:val="List3"/>
    <w:rsid w:val="002B727C"/>
    <w:pPr>
      <w:numPr>
        <w:numId w:val="5"/>
      </w:numPr>
    </w:pPr>
  </w:style>
  <w:style w:type="paragraph" w:styleId="ListNumber4">
    <w:name w:val="List Number 4"/>
    <w:basedOn w:val="List4"/>
    <w:rsid w:val="002B727C"/>
    <w:pPr>
      <w:numPr>
        <w:numId w:val="6"/>
      </w:numPr>
    </w:pPr>
  </w:style>
  <w:style w:type="paragraph" w:styleId="ListNumber5">
    <w:name w:val="List Number 5"/>
    <w:basedOn w:val="List5"/>
    <w:rsid w:val="002B727C"/>
    <w:pPr>
      <w:numPr>
        <w:numId w:val="7"/>
      </w:numPr>
    </w:pPr>
  </w:style>
  <w:style w:type="paragraph" w:styleId="BlockText">
    <w:name w:val="Block Text"/>
    <w:basedOn w:val="Normal"/>
    <w:rsid w:val="002B727C"/>
    <w:pPr>
      <w:spacing w:after="120"/>
      <w:ind w:left="1440" w:right="1440"/>
    </w:pPr>
  </w:style>
  <w:style w:type="character" w:customStyle="1" w:styleId="Subscript">
    <w:name w:val="Subscript"/>
    <w:basedOn w:val="DefaultParagraphFont"/>
    <w:rsid w:val="002B727C"/>
    <w:rPr>
      <w:sz w:val="16"/>
      <w:vertAlign w:val="subscript"/>
    </w:rPr>
  </w:style>
  <w:style w:type="character" w:customStyle="1" w:styleId="Superscript">
    <w:name w:val="Superscript"/>
    <w:basedOn w:val="DefaultParagraphFont"/>
    <w:rsid w:val="002B727C"/>
    <w:rPr>
      <w:sz w:val="16"/>
      <w:vertAlign w:val="superscript"/>
    </w:rPr>
  </w:style>
  <w:style w:type="character" w:customStyle="1" w:styleId="Symbols">
    <w:name w:val="Symbols"/>
    <w:basedOn w:val="DefaultParagraphFont"/>
    <w:rsid w:val="002B727C"/>
    <w:rPr>
      <w:rFonts w:ascii="Symbol" w:hAnsi="Symbol"/>
    </w:rPr>
  </w:style>
  <w:style w:type="character" w:customStyle="1" w:styleId="MenuOptions">
    <w:name w:val="Menu Options"/>
    <w:basedOn w:val="DefaultParagraphFont"/>
    <w:rsid w:val="002B727C"/>
    <w:rPr>
      <w:rFonts w:ascii="Arial Narrow" w:hAnsi="Arial Narrow"/>
      <w:smallCaps/>
    </w:rPr>
  </w:style>
  <w:style w:type="character" w:customStyle="1" w:styleId="Buttons">
    <w:name w:val="Buttons"/>
    <w:basedOn w:val="DefaultParagraphFont"/>
    <w:rsid w:val="002B727C"/>
    <w:rPr>
      <w:b/>
    </w:rPr>
  </w:style>
  <w:style w:type="character" w:customStyle="1" w:styleId="Underlined">
    <w:name w:val="Underlined"/>
    <w:basedOn w:val="DefaultParagraphFont"/>
    <w:rsid w:val="002B727C"/>
    <w:rPr>
      <w:u w:val="single"/>
    </w:rPr>
  </w:style>
  <w:style w:type="paragraph" w:customStyle="1" w:styleId="TableBodyTextRight">
    <w:name w:val="Table Body Text Right"/>
    <w:basedOn w:val="TableBodyText"/>
    <w:rsid w:val="002B727C"/>
    <w:pPr>
      <w:widowControl w:val="0"/>
      <w:autoSpaceDE w:val="0"/>
      <w:autoSpaceDN w:val="0"/>
      <w:adjustRightInd w:val="0"/>
      <w:jc w:val="right"/>
    </w:pPr>
    <w:rPr>
      <w:rFonts w:cs="Arial"/>
      <w:szCs w:val="18"/>
    </w:rPr>
  </w:style>
  <w:style w:type="paragraph" w:customStyle="1" w:styleId="CopyrightText">
    <w:name w:val="Copyright Text"/>
    <w:basedOn w:val="BodyText"/>
    <w:rsid w:val="002B727C"/>
    <w:rPr>
      <w:sz w:val="18"/>
    </w:rPr>
  </w:style>
  <w:style w:type="paragraph" w:customStyle="1" w:styleId="BodySmallRight">
    <w:name w:val="Body Small Right"/>
    <w:basedOn w:val="BodyTextRight"/>
    <w:rsid w:val="002B727C"/>
    <w:rPr>
      <w:sz w:val="18"/>
      <w:szCs w:val="18"/>
    </w:rPr>
  </w:style>
  <w:style w:type="paragraph" w:customStyle="1" w:styleId="MarginEdition">
    <w:name w:val="Margin Edition"/>
    <w:basedOn w:val="MarginNote"/>
    <w:rsid w:val="002B727C"/>
    <w:pPr>
      <w:spacing w:before="0" w:after="0"/>
    </w:pPr>
    <w:rPr>
      <w:rFonts w:ascii="Times New Roman" w:hAnsi="Times New Roman"/>
      <w:color w:val="999999"/>
    </w:rPr>
  </w:style>
  <w:style w:type="paragraph" w:customStyle="1" w:styleId="Spacer">
    <w:name w:val="Spacer"/>
    <w:basedOn w:val="Normal"/>
    <w:rsid w:val="002B727C"/>
    <w:rPr>
      <w:sz w:val="2"/>
      <w:szCs w:val="2"/>
    </w:rPr>
  </w:style>
  <w:style w:type="character" w:customStyle="1" w:styleId="Small">
    <w:name w:val="Small"/>
    <w:basedOn w:val="DefaultParagraphFont"/>
    <w:rsid w:val="002B727C"/>
    <w:rPr>
      <w:sz w:val="16"/>
    </w:rPr>
  </w:style>
  <w:style w:type="paragraph" w:customStyle="1" w:styleId="WideTable">
    <w:name w:val="Wide Table"/>
    <w:basedOn w:val="Normal"/>
    <w:rsid w:val="002B727C"/>
    <w:pPr>
      <w:ind w:left="-1418"/>
    </w:pPr>
    <w:rPr>
      <w:sz w:val="2"/>
      <w:szCs w:val="2"/>
    </w:rPr>
  </w:style>
  <w:style w:type="character" w:styleId="PageNumber">
    <w:name w:val="page number"/>
    <w:basedOn w:val="DefaultParagraphFont"/>
    <w:rsid w:val="002B727C"/>
  </w:style>
  <w:style w:type="paragraph" w:styleId="Quote">
    <w:name w:val="Quote"/>
    <w:basedOn w:val="Heading1"/>
    <w:link w:val="QuoteChar"/>
    <w:qFormat/>
    <w:rsid w:val="002B727C"/>
    <w:rPr>
      <w:b w:val="0"/>
      <w:sz w:val="72"/>
      <w:szCs w:val="72"/>
      <w:lang w:val="en-NZ"/>
    </w:rPr>
  </w:style>
  <w:style w:type="character" w:customStyle="1" w:styleId="QuoteChar">
    <w:name w:val="Quote Char"/>
    <w:basedOn w:val="DefaultParagraphFont"/>
    <w:link w:val="Quote"/>
    <w:rsid w:val="002B7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27C"/>
    <w:pPr>
      <w:pageBreakBefore/>
    </w:pPr>
  </w:style>
  <w:style w:type="paragraph" w:customStyle="1" w:styleId="Border">
    <w:name w:val="Border"/>
    <w:basedOn w:val="Normal"/>
    <w:qFormat/>
    <w:rsid w:val="002B7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27C"/>
    <w:rPr>
      <w:b/>
      <w:bCs/>
      <w:i/>
      <w:iCs/>
      <w:color w:val="auto"/>
    </w:rPr>
  </w:style>
  <w:style w:type="paragraph" w:styleId="IntenseQuote">
    <w:name w:val="Intense Quote"/>
    <w:basedOn w:val="Normal"/>
    <w:next w:val="Normal"/>
    <w:link w:val="IntenseQuoteChar"/>
    <w:uiPriority w:val="30"/>
    <w:qFormat/>
    <w:rsid w:val="002B7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27C"/>
    <w:rPr>
      <w:smallCaps/>
      <w:color w:val="auto"/>
      <w:u w:val="single"/>
    </w:rPr>
  </w:style>
  <w:style w:type="character" w:styleId="IntenseReference">
    <w:name w:val="Intense Reference"/>
    <w:basedOn w:val="DefaultParagraphFont"/>
    <w:uiPriority w:val="32"/>
    <w:qFormat/>
    <w:rsid w:val="002B727C"/>
    <w:rPr>
      <w:b/>
      <w:bCs/>
      <w:smallCaps/>
      <w:color w:val="auto"/>
      <w:spacing w:val="5"/>
      <w:u w:val="single"/>
    </w:rPr>
  </w:style>
  <w:style w:type="paragraph" w:customStyle="1" w:styleId="2ColumnHeading">
    <w:name w:val="2Column Heading"/>
    <w:basedOn w:val="BodyText"/>
    <w:qFormat/>
    <w:rsid w:val="002B727C"/>
    <w:pPr>
      <w:spacing w:after="60"/>
      <w:ind w:left="-2268"/>
    </w:pPr>
    <w:rPr>
      <w:b/>
    </w:rPr>
  </w:style>
  <w:style w:type="paragraph" w:customStyle="1" w:styleId="Heading1TOC">
    <w:name w:val="Heading1 TOC"/>
    <w:basedOn w:val="Normal"/>
    <w:qFormat/>
    <w:rsid w:val="002B727C"/>
    <w:pPr>
      <w:spacing w:before="240" w:after="120"/>
    </w:pPr>
    <w:rPr>
      <w:rFonts w:ascii="Times New Roman" w:hAnsi="Times New Roman"/>
      <w:b/>
      <w:sz w:val="32"/>
    </w:rPr>
  </w:style>
  <w:style w:type="paragraph" w:customStyle="1" w:styleId="Heading2TOC">
    <w:name w:val="Heading2 TOC"/>
    <w:basedOn w:val="Normal"/>
    <w:qFormat/>
    <w:rsid w:val="002B727C"/>
    <w:pPr>
      <w:spacing w:before="240" w:after="60"/>
    </w:pPr>
    <w:rPr>
      <w:rFonts w:ascii="Times New Roman" w:hAnsi="Times New Roman"/>
      <w:b/>
      <w:sz w:val="28"/>
    </w:rPr>
  </w:style>
  <w:style w:type="character" w:customStyle="1" w:styleId="Underline">
    <w:name w:val="Underline"/>
    <w:basedOn w:val="DefaultParagraphFont"/>
    <w:qFormat/>
    <w:rsid w:val="002B727C"/>
    <w:rPr>
      <w:u w:val="single"/>
    </w:rPr>
  </w:style>
  <w:style w:type="paragraph" w:styleId="BalloonText">
    <w:name w:val="Balloon Text"/>
    <w:basedOn w:val="Normal"/>
    <w:link w:val="BalloonTextChar"/>
    <w:rsid w:val="002B727C"/>
    <w:rPr>
      <w:rFonts w:ascii="Tahoma" w:hAnsi="Tahoma" w:cs="Tahoma"/>
      <w:sz w:val="16"/>
      <w:szCs w:val="16"/>
    </w:rPr>
  </w:style>
  <w:style w:type="character" w:customStyle="1" w:styleId="BalloonTextChar">
    <w:name w:val="Balloon Text Char"/>
    <w:basedOn w:val="DefaultParagraphFont"/>
    <w:link w:val="BalloonText"/>
    <w:rsid w:val="002B7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27C"/>
    <w:rPr>
      <w:b/>
      <w:color w:val="660033"/>
      <w:spacing w:val="0"/>
    </w:rPr>
  </w:style>
  <w:style w:type="paragraph" w:customStyle="1" w:styleId="Nameditemlist">
    <w:name w:val="Named item list"/>
    <w:basedOn w:val="BodyText"/>
    <w:qFormat/>
    <w:rsid w:val="002B727C"/>
    <w:pPr>
      <w:tabs>
        <w:tab w:val="left" w:pos="2835"/>
      </w:tabs>
      <w:ind w:left="2835" w:hanging="2835"/>
    </w:pPr>
  </w:style>
  <w:style w:type="paragraph" w:customStyle="1" w:styleId="BodyTextnopadding">
    <w:name w:val="Body Text no padding"/>
    <w:basedOn w:val="BodyText"/>
    <w:qFormat/>
    <w:rsid w:val="002B727C"/>
    <w:pPr>
      <w:spacing w:before="0" w:after="0"/>
    </w:pPr>
  </w:style>
  <w:style w:type="paragraph" w:customStyle="1" w:styleId="BodyTextBold">
    <w:name w:val="Body Text Bold"/>
    <w:basedOn w:val="BodyText"/>
    <w:qFormat/>
    <w:rsid w:val="002B727C"/>
    <w:rPr>
      <w:b/>
    </w:rPr>
  </w:style>
  <w:style w:type="character" w:styleId="Hyperlink">
    <w:name w:val="Hyperlink"/>
    <w:basedOn w:val="DefaultParagraphFont"/>
    <w:uiPriority w:val="99"/>
    <w:unhideWhenUsed/>
    <w:rsid w:val="00933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5049</Characters>
  <Application>Microsoft Office Word</Application>
  <DocSecurity>0</DocSecurity>
  <Lines>252</Lines>
  <Paragraphs>130</Paragraphs>
  <ScaleCrop>false</ScaleCrop>
  <Company>Author-it Software Corporation Ltd.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CPCCSG3006 Apply gilding to signs</dc:title>
  <dc:subject>Approved</dc:subject>
  <dc:creator>BuildSkills Australia</dc:creator>
  <cp:keywords>Release: 2</cp:keywords>
  <dc:description>Review Date: 12 April 2008</dc:description>
  <cp:lastModifiedBy>HSD_TPCMSd.prod</cp:lastModifiedBy>
  <cp:revision>3</cp:revision>
  <dcterms:created xsi:type="dcterms:W3CDTF">2024-12-24T01:20:00Z</dcterms:created>
  <dcterms:modified xsi:type="dcterms:W3CDTF">2024-12-24T01:20:00Z</dcterms:modified>
</cp:coreProperties>
</file>