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F6C" w:rsidP="00935F6C">
      <w:pPr>
        <w:pStyle w:val="Title"/>
      </w:pPr>
      <w:r>
        <w:fldChar w:fldCharType="begin"/>
      </w:r>
      <w:r>
        <w:instrText xml:space="preserve"> TITLE   \* MERGEFORMAT </w:instrText>
      </w:r>
      <w:r>
        <w:fldChar w:fldCharType="separate"/>
      </w:r>
      <w:r>
        <w:t>CPCCSG3003 Colour manage signs</w:t>
      </w:r>
      <w:r>
        <w:fldChar w:fldCharType="end"/>
      </w:r>
    </w:p>
    <w:p w:rsidR="00935F6C" w:rsidP="00935F6C">
      <w:pPr>
        <w:pStyle w:val="Version"/>
        <w:sectPr w:rsidSect="00AB76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760B" w:rsidP="00AB760B">
      <w:pPr>
        <w:pStyle w:val="SuperHeading"/>
      </w:pPr>
      <w:r w:rsidRPr="00AB760B">
        <w:t>CPCCSG3003 Colour manage signs</w:t>
      </w:r>
    </w:p>
    <w:p w:rsidR="00000000" w:rsidRPr="00AB760B" w:rsidP="00AB760B">
      <w:pPr>
        <w:pStyle w:val="Heading1"/>
      </w:pPr>
      <w:bookmarkStart w:id="1" w:name="O_832062"/>
      <w:bookmarkEnd w:id="1"/>
      <w:r w:rsidRPr="00AB760B">
        <w:t>Modification History</w:t>
      </w:r>
    </w:p>
    <w:p w:rsidR="00000000" w:rsidRPr="00AB760B" w:rsidP="00935F6C">
      <w:pPr>
        <w:pStyle w:val="BodyText"/>
      </w:pPr>
      <w:r w:rsidRPr="00AB760B">
        <w:t>Release 1.</w:t>
      </w:r>
    </w:p>
    <w:p w:rsidR="00000000" w:rsidRPr="00AB760B" w:rsidP="00935F6C">
      <w:pPr>
        <w:pStyle w:val="BodyText"/>
      </w:pPr>
      <w:r w:rsidRPr="00AB760B">
        <w:t>This version first released with CPC Construction, Plumbing and Services Training Package Version 2.</w:t>
      </w:r>
    </w:p>
    <w:p w:rsidR="00000000" w:rsidRPr="00AB760B" w:rsidP="00935F6C">
      <w:pPr>
        <w:pStyle w:val="BodyText"/>
      </w:pPr>
      <w:r w:rsidRPr="00AB760B">
        <w:t>Revised unit of competency. Replaces superseded non-equivalent CPCCSI2001A Use colour for signage.</w:t>
      </w:r>
    </w:p>
    <w:p w:rsidR="00000000" w:rsidRPr="00AB760B" w:rsidP="00AB760B">
      <w:pPr>
        <w:pStyle w:val="Heading1"/>
      </w:pPr>
      <w:bookmarkStart w:id="2" w:name="O_832070"/>
      <w:bookmarkEnd w:id="2"/>
      <w:r w:rsidRPr="00AB760B">
        <w:t>Appli</w:t>
      </w:r>
      <w:r w:rsidRPr="00AB760B">
        <w:t>cation</w:t>
      </w:r>
    </w:p>
    <w:p w:rsidR="00000000" w:rsidRPr="00AB760B" w:rsidP="00935F6C">
      <w:pPr>
        <w:pStyle w:val="BodyText"/>
      </w:pPr>
      <w:r w:rsidRPr="00AB760B">
        <w:t>This unit of competency specifies the outcomes required to assess and apply colour consistently across a range of visual media used to produce signs. It requires the application of colour theory and an ability to use industry-recognised software, ha</w:t>
      </w:r>
      <w:r w:rsidRPr="00AB760B">
        <w:t>rdware and colour matching systems for a range of output devices.</w:t>
      </w:r>
    </w:p>
    <w:p w:rsidR="00000000" w:rsidRPr="00AB760B" w:rsidP="00935F6C">
      <w:pPr>
        <w:pStyle w:val="BodyText"/>
      </w:pPr>
      <w:r w:rsidRPr="00AB760B">
        <w:t>The unit supports sign manufacturers working with different media where the accuracy and consistency of colour are critical to the quality of the final product.</w:t>
      </w:r>
    </w:p>
    <w:p w:rsidR="00000000" w:rsidRPr="00AB760B" w:rsidP="00935F6C">
      <w:pPr>
        <w:pStyle w:val="BodyText"/>
      </w:pPr>
      <w:r w:rsidRPr="00AB760B">
        <w:t xml:space="preserve">No licensing, legislative, </w:t>
      </w:r>
      <w:r w:rsidRPr="00AB760B">
        <w:t>regulatory or certification requirements apply to this unit of competency at the time of endorsement.</w:t>
      </w:r>
    </w:p>
    <w:p w:rsidR="00000000" w:rsidRPr="00AB760B" w:rsidP="00AB760B">
      <w:pPr>
        <w:pStyle w:val="Heading1"/>
      </w:pPr>
      <w:bookmarkStart w:id="3" w:name="O_832069"/>
      <w:bookmarkEnd w:id="3"/>
      <w:r w:rsidRPr="00AB760B">
        <w:t>Pre-requisite Unit</w:t>
      </w:r>
    </w:p>
    <w:p w:rsidR="00000000" w:rsidRPr="00AB760B" w:rsidP="00935F6C">
      <w:pPr>
        <w:pStyle w:val="BodyText"/>
      </w:pPr>
      <w:r w:rsidRPr="00AB760B">
        <w:t>Nil</w:t>
      </w:r>
    </w:p>
    <w:p w:rsidR="00000000" w:rsidRPr="00AB760B" w:rsidP="00AB760B">
      <w:pPr>
        <w:pStyle w:val="Heading1"/>
      </w:pPr>
      <w:bookmarkStart w:id="4" w:name="O_832068"/>
      <w:bookmarkEnd w:id="4"/>
      <w:r w:rsidRPr="00AB760B">
        <w:t>Competency Field</w:t>
      </w:r>
    </w:p>
    <w:p w:rsidR="00000000" w:rsidRPr="00AB760B" w:rsidP="00935F6C">
      <w:pPr>
        <w:pStyle w:val="BodyText"/>
      </w:pPr>
      <w:r w:rsidRPr="00AB760B">
        <w:t>Signs and graphics</w:t>
      </w:r>
    </w:p>
    <w:p w:rsidR="00000000" w:rsidRPr="00AB760B" w:rsidP="00AB760B">
      <w:pPr>
        <w:pStyle w:val="Heading1"/>
      </w:pPr>
      <w:bookmarkStart w:id="5" w:name="O_832067"/>
      <w:bookmarkEnd w:id="5"/>
      <w:r w:rsidRPr="00AB760B">
        <w:t>Unit Sector</w:t>
      </w:r>
    </w:p>
    <w:p w:rsidR="00000000" w:rsidRPr="00AB760B" w:rsidP="00935F6C">
      <w:pPr>
        <w:pStyle w:val="BodyText"/>
      </w:pPr>
      <w:r w:rsidRPr="00AB760B">
        <w:t>Construction</w:t>
      </w:r>
    </w:p>
    <w:p w:rsidR="00000000" w:rsidRPr="00AB760B" w:rsidP="00AB760B">
      <w:pPr>
        <w:pStyle w:val="Heading1"/>
      </w:pPr>
      <w:bookmarkStart w:id="6" w:name="O_832066"/>
      <w:bookmarkEnd w:id="6"/>
      <w:r w:rsidRPr="00AB760B">
        <w:t>El</w:t>
      </w:r>
      <w:r w:rsidRPr="00AB760B">
        <w:t>ements and Performance Criteria</w:t>
      </w:r>
    </w:p>
    <w:tbl>
      <w:tblPr>
        <w:tblW w:w="0" w:type="auto"/>
        <w:tblLayout w:type="fixed"/>
        <w:tblCellMar>
          <w:left w:w="62" w:type="dxa"/>
          <w:right w:w="62" w:type="dxa"/>
        </w:tblCellMar>
        <w:tblLook w:val="0000"/>
      </w:tblPr>
      <w:tblGrid>
        <w:gridCol w:w="686"/>
        <w:gridCol w:w="1985"/>
        <w:gridCol w:w="779"/>
        <w:gridCol w:w="5678"/>
      </w:tblGrid>
      <w:tr w:rsidTr="00AB760B">
        <w:tblPrEx>
          <w:tblW w:w="0" w:type="auto"/>
          <w:tblLayout w:type="fixed"/>
          <w:tblCellMar>
            <w:left w:w="62" w:type="dxa"/>
            <w:right w:w="62" w:type="dxa"/>
          </w:tblCellMar>
          <w:tblLook w:val="0000"/>
        </w:tblPrEx>
        <w:tc>
          <w:tcPr>
            <w:tcW w:w="2671" w:type="dxa"/>
            <w:gridSpan w:val="2"/>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 xml:space="preserve">Elements describe the </w:t>
            </w:r>
            <w:r w:rsidRPr="00AB760B">
              <w:t>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 xml:space="preserve">Performance criteria describe the performance needed to </w:t>
            </w:r>
            <w:r w:rsidRPr="00AB760B">
              <w:t xml:space="preserve">demonstrate achievement of the element. Where bold italicised text is used, further information is </w:t>
            </w:r>
            <w:r w:rsidRPr="00AB760B">
              <w:t>detailed in the range of conditions.</w:t>
            </w:r>
          </w:p>
        </w:tc>
      </w:tr>
      <w:tr w:rsidTr="00AB760B">
        <w:tblPrEx>
          <w:tblW w:w="0" w:type="auto"/>
          <w:tblLayout w:type="fixed"/>
          <w:tblCellMar>
            <w:left w:w="62" w:type="dxa"/>
            <w:right w:w="62" w:type="dxa"/>
          </w:tblCellMar>
          <w:tblLook w:val="0000"/>
        </w:tblPrEx>
        <w:tc>
          <w:tcPr>
            <w:tcW w:w="2671"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AB760B">
            <w:pPr>
              <w:pStyle w:val="BodyText"/>
              <w:rPr>
                <w:lang w:val="en-NZ"/>
              </w:rPr>
            </w:pPr>
          </w:p>
        </w:tc>
      </w:tr>
      <w:tr w:rsidTr="00AB760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1</w:t>
            </w:r>
          </w:p>
        </w:tc>
        <w:tc>
          <w:tcPr>
            <w:tcW w:w="1985" w:type="dxa"/>
            <w:vMerge w:val="restart"/>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Plan and prepare to manage colour.</w:t>
            </w:r>
          </w:p>
        </w:tc>
        <w:tc>
          <w:tcPr>
            <w:tcW w:w="779" w:type="dxa"/>
            <w:tcBorders>
              <w:top w:val="nil"/>
              <w:left w:val="nil"/>
              <w:bottom w:val="nil"/>
              <w:right w:val="nil"/>
            </w:tcBorders>
            <w:tcMar>
              <w:top w:w="0" w:type="dxa"/>
              <w:left w:w="62" w:type="dxa"/>
              <w:bottom w:w="0" w:type="dxa"/>
              <w:right w:w="62" w:type="dxa"/>
            </w:tcMar>
          </w:tcPr>
          <w:p w:rsidR="00000000" w:rsidRPr="00AB760B" w:rsidP="00AB760B">
            <w:pPr>
              <w:pStyle w:val="BodyText"/>
            </w:pPr>
            <w:r w:rsidRPr="00AB760B">
              <w:t>1.1</w:t>
            </w:r>
          </w:p>
        </w:tc>
        <w:tc>
          <w:tcPr>
            <w:tcW w:w="5678"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rPr>
                <w:rStyle w:val="BoldandItalics"/>
              </w:rPr>
              <w:t xml:space="preserve">Job requirements </w:t>
            </w:r>
            <w:r w:rsidRPr="00AB760B">
              <w:t>are identified from drawings, specifications, instructions and client briefs, confirmed, and applied to planning and preparation.</w:t>
            </w:r>
          </w:p>
        </w:tc>
      </w:tr>
      <w:tr w:rsidTr="00AB760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1.2</w:t>
            </w:r>
          </w:p>
        </w:tc>
        <w:tc>
          <w:tcPr>
            <w:tcW w:w="5678"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Colour matching system appropriate to the task is selected.</w:t>
            </w:r>
          </w:p>
        </w:tc>
      </w:tr>
      <w:tr w:rsidTr="00AB760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AB760B" w:rsidP="00AB760B">
            <w:pPr>
              <w:pStyle w:val="BodyText"/>
            </w:pPr>
            <w:r w:rsidRPr="00AB760B">
              <w:t>1.3</w:t>
            </w:r>
          </w:p>
        </w:tc>
        <w:tc>
          <w:tcPr>
            <w:tcW w:w="5678"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rPr>
                <w:rStyle w:val="BoldandItalics"/>
              </w:rPr>
              <w:t>Digital devices</w:t>
            </w:r>
            <w:r w:rsidRPr="00AB760B">
              <w:t xml:space="preserve"> used in production of signs are identified and calibrated for colour accuracy and consistency using industry-recognised calibration software and techniques, and faults are i</w:t>
            </w:r>
            <w:r w:rsidRPr="00AB760B">
              <w:t>dentified and rectified or reported to relevant personnel before starting work.</w:t>
            </w:r>
          </w:p>
        </w:tc>
      </w:tr>
      <w:tr w:rsidTr="00AB760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1.4</w:t>
            </w:r>
          </w:p>
        </w:tc>
        <w:tc>
          <w:tcPr>
            <w:tcW w:w="5678"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Colour profile appropriate to the task is identified and set up in industry-recognised software.</w:t>
            </w:r>
          </w:p>
        </w:tc>
      </w:tr>
      <w:tr w:rsidTr="00AB760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1.5</w:t>
            </w:r>
          </w:p>
        </w:tc>
        <w:tc>
          <w:tcPr>
            <w:tcW w:w="5678" w:type="dxa"/>
            <w:tcBorders>
              <w:top w:val="nil"/>
              <w:left w:val="nil"/>
              <w:bottom w:val="nil"/>
              <w:right w:val="nil"/>
            </w:tcBorders>
            <w:tcMar>
              <w:top w:w="0" w:type="dxa"/>
              <w:left w:w="62" w:type="dxa"/>
              <w:bottom w:w="0" w:type="dxa"/>
              <w:right w:w="62" w:type="dxa"/>
            </w:tcMar>
          </w:tcPr>
          <w:p w:rsidR="00000000" w:rsidRPr="00AB760B" w:rsidP="00AB760B">
            <w:pPr>
              <w:pStyle w:val="BodyText"/>
            </w:pPr>
            <w:r w:rsidRPr="00AB760B">
              <w:t xml:space="preserve">Digital image is imported into software and converted to correct </w:t>
            </w:r>
            <w:r w:rsidRPr="00AB760B">
              <w:t>colour profile as necessary.</w:t>
            </w:r>
          </w:p>
        </w:tc>
      </w:tr>
    </w:tbl>
    <w:p w:rsidR="00000000" w:rsidRPr="00AB760B" w:rsidP="00AB760B">
      <w:pPr>
        <w:pStyle w:val="BodyText"/>
      </w:pPr>
    </w:p>
    <w:tbl>
      <w:tblPr>
        <w:tblW w:w="0" w:type="auto"/>
        <w:tblLayout w:type="fixed"/>
        <w:tblCellMar>
          <w:left w:w="62" w:type="dxa"/>
          <w:right w:w="62" w:type="dxa"/>
        </w:tblCellMar>
        <w:tblLook w:val="0000"/>
      </w:tblPr>
      <w:tblGrid>
        <w:gridCol w:w="678"/>
        <w:gridCol w:w="1962"/>
        <w:gridCol w:w="770"/>
        <w:gridCol w:w="5610"/>
      </w:tblGrid>
      <w:tr w:rsidTr="00AB7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2</w:t>
            </w:r>
          </w:p>
        </w:tc>
        <w:tc>
          <w:tcPr>
            <w:tcW w:w="1962" w:type="dxa"/>
            <w:vMerge w:val="restart"/>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Apply and modify colour.</w:t>
            </w:r>
          </w:p>
        </w:tc>
        <w:tc>
          <w:tcPr>
            <w:tcW w:w="770"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2.1</w:t>
            </w:r>
          </w:p>
        </w:tc>
        <w:tc>
          <w:tcPr>
            <w:tcW w:w="5610"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Colour legibility is assessed against job requirements, and levels of contrast are adjusted and applied to sign design.</w:t>
            </w:r>
          </w:p>
        </w:tc>
      </w:tr>
      <w:tr w:rsidTr="00AB7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2.2</w:t>
            </w:r>
          </w:p>
        </w:tc>
        <w:tc>
          <w:tcPr>
            <w:tcW w:w="5610"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Colour scheme is determined and principles of colour harmony are applied to sign according to client requirements.</w:t>
            </w:r>
          </w:p>
        </w:tc>
      </w:tr>
      <w:tr w:rsidTr="00AB7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2.3</w:t>
            </w:r>
          </w:p>
        </w:tc>
        <w:tc>
          <w:tcPr>
            <w:tcW w:w="5610"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Test prints are produced and checked against job requirements.</w:t>
            </w:r>
          </w:p>
        </w:tc>
      </w:tr>
      <w:tr w:rsidTr="00AB7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2.4</w:t>
            </w:r>
          </w:p>
        </w:tc>
        <w:tc>
          <w:tcPr>
            <w:tcW w:w="5610" w:type="dxa"/>
            <w:tcBorders>
              <w:top w:val="nil"/>
              <w:left w:val="nil"/>
              <w:bottom w:val="nil"/>
              <w:right w:val="nil"/>
            </w:tcBorders>
            <w:tcMar>
              <w:top w:w="0" w:type="dxa"/>
              <w:left w:w="62" w:type="dxa"/>
              <w:bottom w:w="0" w:type="dxa"/>
              <w:right w:w="62" w:type="dxa"/>
            </w:tcMar>
          </w:tcPr>
          <w:p w:rsidR="00000000" w:rsidRPr="00AB760B" w:rsidP="00AB760B">
            <w:pPr>
              <w:pStyle w:val="BodyText"/>
            </w:pPr>
            <w:r w:rsidRPr="00AB760B">
              <w:t>Sign is colour corrected as required using software tools to ensure consistent application of colour.</w:t>
            </w:r>
          </w:p>
        </w:tc>
      </w:tr>
    </w:tbl>
    <w:p w:rsidR="00000000" w:rsidRPr="00AB760B" w:rsidP="00AB760B">
      <w:pPr>
        <w:pStyle w:val="BodyText"/>
      </w:pPr>
    </w:p>
    <w:tbl>
      <w:tblPr>
        <w:tblW w:w="0" w:type="auto"/>
        <w:tblLayout w:type="fixed"/>
        <w:tblCellMar>
          <w:left w:w="62" w:type="dxa"/>
          <w:right w:w="62" w:type="dxa"/>
        </w:tblCellMar>
        <w:tblLook w:val="0000"/>
      </w:tblPr>
      <w:tblGrid>
        <w:gridCol w:w="678"/>
        <w:gridCol w:w="1962"/>
        <w:gridCol w:w="770"/>
        <w:gridCol w:w="5610"/>
      </w:tblGrid>
      <w:tr w:rsidTr="00AB7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3</w:t>
            </w:r>
          </w:p>
        </w:tc>
        <w:tc>
          <w:tcPr>
            <w:tcW w:w="1962" w:type="dxa"/>
            <w:vMerge w:val="restart"/>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Maintain colour management systems.</w:t>
            </w:r>
          </w:p>
        </w:tc>
        <w:tc>
          <w:tcPr>
            <w:tcW w:w="770"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3.1</w:t>
            </w:r>
          </w:p>
        </w:tc>
        <w:tc>
          <w:tcPr>
            <w:tcW w:w="5610"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Colour management systems are routinely checked for accuracy and updated when necessary.</w:t>
            </w:r>
          </w:p>
        </w:tc>
      </w:tr>
      <w:tr w:rsidTr="00AB7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3.2</w:t>
            </w:r>
          </w:p>
        </w:tc>
        <w:tc>
          <w:tcPr>
            <w:tcW w:w="5610" w:type="dxa"/>
            <w:tcBorders>
              <w:top w:val="nil"/>
              <w:left w:val="nil"/>
              <w:bottom w:val="nil"/>
              <w:right w:val="nil"/>
            </w:tcBorders>
            <w:tcMar>
              <w:top w:w="0" w:type="dxa"/>
              <w:left w:w="62" w:type="dxa"/>
              <w:bottom w:w="0" w:type="dxa"/>
              <w:right w:w="62" w:type="dxa"/>
            </w:tcMar>
          </w:tcPr>
          <w:p w:rsidR="00000000" w:rsidRPr="00AB760B" w:rsidP="00AB760B">
            <w:pPr>
              <w:pStyle w:val="BodyText"/>
            </w:pPr>
            <w:r w:rsidRPr="00AB760B">
              <w:t>Digital device</w:t>
            </w:r>
            <w:r w:rsidRPr="00AB760B">
              <w:t>s used in sign production are routinely checked and recalibrated when necessary.</w:t>
            </w:r>
          </w:p>
        </w:tc>
      </w:tr>
    </w:tbl>
    <w:p w:rsidR="00000000" w:rsidRPr="00AB760B" w:rsidP="00AB760B">
      <w:pPr>
        <w:pStyle w:val="BodyText"/>
      </w:pPr>
    </w:p>
    <w:p w:rsidR="00000000" w:rsidRPr="00AB760B" w:rsidP="00AB760B">
      <w:pPr>
        <w:pStyle w:val="AllowPageBreak"/>
      </w:pPr>
    </w:p>
    <w:p w:rsidR="00000000" w:rsidRPr="00AB760B" w:rsidP="00AB760B">
      <w:pPr>
        <w:pStyle w:val="Heading1"/>
      </w:pPr>
      <w:bookmarkStart w:id="7" w:name="O_832065"/>
      <w:bookmarkEnd w:id="7"/>
      <w:r w:rsidRPr="00AB760B">
        <w:t>Foundation Skills</w:t>
      </w:r>
    </w:p>
    <w:tbl>
      <w:tblPr>
        <w:tblW w:w="0" w:type="auto"/>
        <w:tblLayout w:type="fixed"/>
        <w:tblCellMar>
          <w:left w:w="62" w:type="dxa"/>
          <w:right w:w="62" w:type="dxa"/>
        </w:tblCellMar>
        <w:tblLook w:val="0000"/>
      </w:tblPr>
      <w:tblGrid>
        <w:gridCol w:w="2210"/>
        <w:gridCol w:w="6742"/>
      </w:tblGrid>
      <w:tr w:rsidTr="00AB760B">
        <w:tblPrEx>
          <w:tblW w:w="0" w:type="auto"/>
          <w:tblLayout w:type="fixed"/>
          <w:tblCellMar>
            <w:left w:w="62" w:type="dxa"/>
            <w:right w:w="62" w:type="dxa"/>
          </w:tblCellMar>
          <w:tblLook w:val="0000"/>
        </w:tblPrEx>
        <w:trPr>
          <w:tblHeader/>
        </w:trPr>
        <w:tc>
          <w:tcPr>
            <w:tcW w:w="8952" w:type="dxa"/>
            <w:gridSpan w:val="2"/>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This section describes the language, literacy, numeracy and employment skills essential to performance in this unit but not explicit in the performance criteria.</w:t>
            </w:r>
          </w:p>
        </w:tc>
      </w:tr>
      <w:tr w:rsidTr="00AB760B">
        <w:tblPrEx>
          <w:tblW w:w="0" w:type="auto"/>
          <w:tblLayout w:type="fixed"/>
          <w:tblCellMar>
            <w:left w:w="62" w:type="dxa"/>
            <w:right w:w="62" w:type="dxa"/>
          </w:tblCellMar>
          <w:tblLook w:val="0000"/>
        </w:tblPrEx>
        <w:trPr>
          <w:tblHeader/>
        </w:trPr>
        <w:tc>
          <w:tcPr>
            <w:tcW w:w="2210" w:type="dxa"/>
            <w:tcBorders>
              <w:top w:val="nil"/>
              <w:left w:val="nil"/>
              <w:bottom w:val="nil"/>
              <w:right w:val="nil"/>
            </w:tcBorders>
            <w:tcMar>
              <w:top w:w="0" w:type="dxa"/>
              <w:left w:w="62" w:type="dxa"/>
              <w:bottom w:w="0" w:type="dxa"/>
              <w:right w:w="62" w:type="dxa"/>
            </w:tcMar>
          </w:tcPr>
          <w:p w:rsidR="00000000" w:rsidRPr="00AB760B" w:rsidP="00AB760B">
            <w:pPr>
              <w:pStyle w:val="BodyText"/>
            </w:pPr>
            <w:r w:rsidRPr="00AB760B">
              <w:rPr>
                <w:rStyle w:val="SpecialBold"/>
              </w:rPr>
              <w:t>Skill</w:t>
            </w:r>
          </w:p>
        </w:tc>
        <w:tc>
          <w:tcPr>
            <w:tcW w:w="6742"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rPr>
                <w:rStyle w:val="SpecialBold"/>
              </w:rPr>
              <w:t>Performance feature</w:t>
            </w:r>
          </w:p>
        </w:tc>
      </w:tr>
      <w:tr w:rsidTr="00AB760B">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Learning skills to:</w:t>
            </w:r>
          </w:p>
        </w:tc>
        <w:tc>
          <w:tcPr>
            <w:tcW w:w="6742" w:type="dxa"/>
            <w:tcBorders>
              <w:top w:val="nil"/>
              <w:left w:val="nil"/>
              <w:bottom w:val="nil"/>
              <w:right w:val="nil"/>
            </w:tcBorders>
            <w:tcMar>
              <w:top w:w="0" w:type="dxa"/>
              <w:left w:w="62" w:type="dxa"/>
              <w:bottom w:w="0" w:type="dxa"/>
              <w:right w:w="62" w:type="dxa"/>
            </w:tcMar>
          </w:tcPr>
          <w:p w:rsidR="00000000" w:rsidRPr="00AB760B" w:rsidP="00AB760B">
            <w:pPr>
              <w:pStyle w:val="ListBullet"/>
            </w:pPr>
            <w:r w:rsidRPr="00AB760B">
              <w:t>consider and respond</w:t>
            </w:r>
            <w:r w:rsidRPr="00AB760B">
              <w:t xml:space="preserve"> to feedback relating to achievement of client requirements and colour consistency in signs.</w:t>
            </w:r>
          </w:p>
          <w:p w:rsidR="00000000" w:rsidP="00AB760B">
            <w:pPr>
              <w:pStyle w:val="BodyText"/>
              <w:rPr>
                <w:lang w:val="en-NZ"/>
              </w:rPr>
            </w:pPr>
          </w:p>
        </w:tc>
      </w:tr>
      <w:tr w:rsidTr="00AB760B">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Numeracy skills to:</w:t>
            </w:r>
          </w:p>
        </w:tc>
        <w:tc>
          <w:tcPr>
            <w:tcW w:w="6742" w:type="dxa"/>
            <w:tcBorders>
              <w:top w:val="nil"/>
              <w:left w:val="nil"/>
              <w:bottom w:val="nil"/>
              <w:right w:val="nil"/>
            </w:tcBorders>
            <w:tcMar>
              <w:top w:w="0" w:type="dxa"/>
              <w:left w:w="62" w:type="dxa"/>
              <w:bottom w:w="0" w:type="dxa"/>
              <w:right w:w="62" w:type="dxa"/>
            </w:tcMar>
          </w:tcPr>
          <w:p w:rsidR="00000000" w:rsidRPr="00AB760B" w:rsidP="00AB760B">
            <w:pPr>
              <w:pStyle w:val="ListBullet"/>
            </w:pPr>
            <w:r w:rsidRPr="00AB760B">
              <w:t>recognise differences in and apply numerical values of colour to digital images.</w:t>
            </w:r>
          </w:p>
          <w:p w:rsidR="00000000" w:rsidP="00AB760B">
            <w:pPr>
              <w:pStyle w:val="BodyText"/>
              <w:rPr>
                <w:lang w:val="en-NZ"/>
              </w:rPr>
            </w:pPr>
          </w:p>
        </w:tc>
      </w:tr>
      <w:tr w:rsidTr="00AB760B">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Oral communication skills to:</w:t>
            </w:r>
          </w:p>
        </w:tc>
        <w:tc>
          <w:tcPr>
            <w:tcW w:w="6742" w:type="dxa"/>
            <w:tcBorders>
              <w:top w:val="nil"/>
              <w:left w:val="nil"/>
              <w:bottom w:val="nil"/>
              <w:right w:val="nil"/>
            </w:tcBorders>
            <w:tcMar>
              <w:top w:w="0" w:type="dxa"/>
              <w:left w:w="62" w:type="dxa"/>
              <w:bottom w:w="0" w:type="dxa"/>
              <w:right w:w="62" w:type="dxa"/>
            </w:tcMar>
          </w:tcPr>
          <w:p w:rsidR="00000000" w:rsidRPr="00AB760B" w:rsidP="00AB760B">
            <w:pPr>
              <w:pStyle w:val="ListBullet"/>
            </w:pPr>
            <w:r w:rsidRPr="00AB760B">
              <w:t>confirm job requirements and liaise with others on colour matching processes and results.</w:t>
            </w:r>
          </w:p>
          <w:p w:rsidR="00000000" w:rsidP="00AB760B">
            <w:pPr>
              <w:pStyle w:val="BodyText"/>
              <w:rPr>
                <w:lang w:val="en-NZ"/>
              </w:rPr>
            </w:pPr>
          </w:p>
        </w:tc>
      </w:tr>
      <w:tr w:rsidTr="00AB760B">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Writing skills to:</w:t>
            </w:r>
          </w:p>
        </w:tc>
        <w:tc>
          <w:tcPr>
            <w:tcW w:w="6742" w:type="dxa"/>
            <w:tcBorders>
              <w:top w:val="nil"/>
              <w:left w:val="nil"/>
              <w:bottom w:val="nil"/>
              <w:right w:val="nil"/>
            </w:tcBorders>
            <w:tcMar>
              <w:top w:w="0" w:type="dxa"/>
              <w:left w:w="62" w:type="dxa"/>
              <w:bottom w:w="0" w:type="dxa"/>
              <w:right w:w="62" w:type="dxa"/>
            </w:tcMar>
          </w:tcPr>
          <w:p w:rsidR="00000000" w:rsidRPr="00AB760B" w:rsidP="00AB760B">
            <w:pPr>
              <w:pStyle w:val="ListBullet"/>
            </w:pPr>
            <w:r w:rsidRPr="00AB760B">
              <w:t>report faults in software or output devices to relevant personnel using appropriate documentation and industry-recognised terminology.</w:t>
            </w:r>
          </w:p>
          <w:p w:rsidR="00000000" w:rsidRPr="00AB760B" w:rsidP="00AB760B">
            <w:pPr>
              <w:pStyle w:val="BodyText"/>
            </w:pPr>
          </w:p>
        </w:tc>
      </w:tr>
    </w:tbl>
    <w:p w:rsidR="00000000" w:rsidRPr="00AB760B" w:rsidP="00AB760B">
      <w:pPr>
        <w:pStyle w:val="BodyText"/>
      </w:pPr>
    </w:p>
    <w:p w:rsidR="00000000" w:rsidRPr="00AB760B" w:rsidP="00AB760B">
      <w:pPr>
        <w:pStyle w:val="AllowPageBreak"/>
      </w:pPr>
    </w:p>
    <w:p w:rsidR="00000000" w:rsidRPr="00AB760B" w:rsidP="00AB760B">
      <w:pPr>
        <w:pStyle w:val="Heading1"/>
      </w:pPr>
      <w:bookmarkStart w:id="8" w:name="O_832064"/>
      <w:bookmarkEnd w:id="8"/>
      <w:r w:rsidRPr="00AB760B">
        <w:t>Range of Conditions</w:t>
      </w:r>
    </w:p>
    <w:tbl>
      <w:tblPr>
        <w:tblW w:w="0" w:type="auto"/>
        <w:tblLayout w:type="fixed"/>
        <w:tblCellMar>
          <w:left w:w="62" w:type="dxa"/>
          <w:right w:w="62" w:type="dxa"/>
        </w:tblCellMar>
        <w:tblLook w:val="0000"/>
      </w:tblPr>
      <w:tblGrid>
        <w:gridCol w:w="2240"/>
        <w:gridCol w:w="6722"/>
      </w:tblGrid>
      <w:tr w:rsidTr="00AB760B">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t xml:space="preserve">This section specifies work environments and conditions that may affect performance. Essential operating conditions that may be present (depending on the work situation, needs of the candidate, accessibility of the item, and </w:t>
            </w:r>
            <w:r w:rsidRPr="00AB760B">
              <w:t>local industry and regional contexts) are included. Bold italicised wording, if used in the performance criteria, is detailed below.</w:t>
            </w:r>
          </w:p>
        </w:tc>
      </w:tr>
      <w:tr w:rsidTr="00AB760B">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rPr>
                <w:rStyle w:val="BoldandItalics"/>
              </w:rPr>
              <w:t xml:space="preserve">Job requirements </w:t>
            </w:r>
            <w:r w:rsidRPr="00AB760B">
              <w:t>must include:</w:t>
            </w:r>
          </w:p>
        </w:tc>
        <w:tc>
          <w:tcPr>
            <w:tcW w:w="6722" w:type="dxa"/>
            <w:tcBorders>
              <w:top w:val="nil"/>
              <w:left w:val="nil"/>
              <w:bottom w:val="nil"/>
              <w:right w:val="nil"/>
            </w:tcBorders>
            <w:tcMar>
              <w:top w:w="0" w:type="dxa"/>
              <w:left w:w="62" w:type="dxa"/>
              <w:bottom w:w="0" w:type="dxa"/>
              <w:right w:w="62" w:type="dxa"/>
            </w:tcMar>
          </w:tcPr>
          <w:p w:rsidR="00000000" w:rsidRPr="00AB760B" w:rsidP="00AB760B">
            <w:pPr>
              <w:pStyle w:val="ListBullet"/>
            </w:pPr>
            <w:r w:rsidRPr="00AB760B">
              <w:t>colour requirements</w:t>
            </w:r>
          </w:p>
          <w:p w:rsidR="00000000" w:rsidRPr="00AB760B" w:rsidP="00AB760B">
            <w:pPr>
              <w:pStyle w:val="ListBullet"/>
            </w:pPr>
            <w:r w:rsidRPr="00AB760B">
              <w:t>dimensions of sign</w:t>
            </w:r>
          </w:p>
          <w:p w:rsidR="00000000" w:rsidRPr="00AB760B" w:rsidP="00AB760B">
            <w:pPr>
              <w:pStyle w:val="ListBullet"/>
            </w:pPr>
            <w:r w:rsidRPr="00AB760B">
              <w:t>required materials</w:t>
            </w:r>
          </w:p>
          <w:p w:rsidR="00000000" w:rsidRPr="00AB760B" w:rsidP="00AB760B">
            <w:pPr>
              <w:pStyle w:val="ListBullet"/>
            </w:pPr>
            <w:r w:rsidRPr="00AB760B">
              <w:t>type of sign.</w:t>
            </w:r>
          </w:p>
          <w:p w:rsidR="00000000" w:rsidP="00AB760B">
            <w:pPr>
              <w:pStyle w:val="BodyText"/>
              <w:rPr>
                <w:lang w:val="en-NZ"/>
              </w:rPr>
            </w:pPr>
          </w:p>
        </w:tc>
      </w:tr>
      <w:tr w:rsidTr="00AB760B">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AB760B">
            <w:pPr>
              <w:pStyle w:val="BodyText"/>
              <w:rPr>
                <w:lang w:val="en-NZ"/>
              </w:rPr>
            </w:pPr>
            <w:r w:rsidRPr="00AB760B">
              <w:rPr>
                <w:rStyle w:val="BoldandItalics"/>
              </w:rPr>
              <w:t xml:space="preserve">Digital devices </w:t>
            </w:r>
            <w:r w:rsidRPr="00AB760B">
              <w:t>must include:</w:t>
            </w:r>
          </w:p>
        </w:tc>
        <w:tc>
          <w:tcPr>
            <w:tcW w:w="6722" w:type="dxa"/>
            <w:tcBorders>
              <w:top w:val="nil"/>
              <w:left w:val="nil"/>
              <w:bottom w:val="nil"/>
              <w:right w:val="nil"/>
            </w:tcBorders>
            <w:tcMar>
              <w:top w:w="0" w:type="dxa"/>
              <w:left w:w="62" w:type="dxa"/>
              <w:bottom w:w="0" w:type="dxa"/>
              <w:right w:w="62" w:type="dxa"/>
            </w:tcMar>
          </w:tcPr>
          <w:p w:rsidR="00000000" w:rsidRPr="00AB760B" w:rsidP="00AB760B">
            <w:pPr>
              <w:pStyle w:val="ListBullet"/>
            </w:pPr>
            <w:r w:rsidRPr="00AB760B">
              <w:t>computer monitor</w:t>
            </w:r>
          </w:p>
          <w:p w:rsidR="00000000" w:rsidRPr="00AB760B" w:rsidP="00AB760B">
            <w:pPr>
              <w:pStyle w:val="ListBullet"/>
            </w:pPr>
            <w:r w:rsidRPr="00AB760B">
              <w:t>printer</w:t>
            </w:r>
          </w:p>
          <w:p w:rsidR="00000000" w:rsidRPr="00AB760B" w:rsidP="00AB760B">
            <w:pPr>
              <w:pStyle w:val="ListBullet"/>
            </w:pPr>
            <w:r w:rsidRPr="00AB760B">
              <w:t>scanner.</w:t>
            </w:r>
          </w:p>
          <w:p w:rsidR="00000000" w:rsidRPr="00AB760B" w:rsidP="00AB760B">
            <w:pPr>
              <w:pStyle w:val="BodyText"/>
            </w:pPr>
          </w:p>
        </w:tc>
      </w:tr>
    </w:tbl>
    <w:p w:rsidR="00000000" w:rsidRPr="00AB760B" w:rsidP="00AB760B">
      <w:pPr>
        <w:pStyle w:val="BodyText"/>
      </w:pPr>
    </w:p>
    <w:p w:rsidR="00000000" w:rsidRPr="00AB760B" w:rsidP="00AB760B">
      <w:pPr>
        <w:pStyle w:val="AllowPageBreak"/>
      </w:pPr>
    </w:p>
    <w:p w:rsidR="00000000" w:rsidRPr="00AB760B" w:rsidP="00AB760B">
      <w:pPr>
        <w:pStyle w:val="Heading1"/>
      </w:pPr>
      <w:bookmarkStart w:id="9" w:name="O_832063"/>
      <w:bookmarkEnd w:id="9"/>
      <w:r w:rsidRPr="00AB760B">
        <w:t>Unit Mapping Information</w:t>
      </w:r>
    </w:p>
    <w:p w:rsidR="00000000" w:rsidRPr="00AB760B" w:rsidP="00935F6C">
      <w:pPr>
        <w:pStyle w:val="BodyText"/>
      </w:pPr>
      <w:r w:rsidRPr="00AB760B">
        <w:t>No equivalent unit.</w:t>
      </w:r>
    </w:p>
    <w:p w:rsidR="00000000" w:rsidRPr="00AB760B" w:rsidP="00AB760B">
      <w:pPr>
        <w:pStyle w:val="Heading1"/>
      </w:pPr>
      <w:bookmarkStart w:id="10" w:name="O_832056"/>
      <w:bookmarkEnd w:id="10"/>
      <w:r w:rsidRPr="00AB760B">
        <w:t>Links</w:t>
      </w:r>
    </w:p>
    <w:p w:rsidR="00000000" w:rsidRPr="00AB760B" w:rsidP="00935F6C">
      <w:pPr>
        <w:pStyle w:val="BodyText"/>
      </w:pPr>
      <w:r w:rsidRPr="00AB760B">
        <w:t xml:space="preserve">Companion Volume implementation guides </w:t>
      </w:r>
      <w:r w:rsidRPr="00AB760B">
        <w:t xml:space="preserve">are found in VETNet - </w:t>
      </w:r>
      <w:r>
        <w:fldChar w:fldCharType="begin"/>
      </w:r>
      <w:r>
        <w:instrText xml:space="preserve"> HYPERLINK "https://vetnet.gov.au/Pages/TrainingDocs.aspx?q=7e15fa6a-68b8-4097-b099-030a5569b1ad" </w:instrText>
      </w:r>
      <w:r>
        <w:fldChar w:fldCharType="separate"/>
      </w:r>
      <w:r w:rsidRPr="00223F0C">
        <w:rPr>
          <w:rStyle w:val="Hyperlink"/>
        </w:rPr>
        <w:t>https://vetnet.gov.au/Pages/TrainingDocs.aspx?q=7e15fa6a-68b8-4097-b099-030a5569b1ad</w:t>
      </w:r>
      <w:r>
        <w:fldChar w:fldCharType="end"/>
      </w:r>
    </w:p>
    <w:p w:rsidR="00000000" w:rsidRPr="00AB760B" w:rsidP="00AB760B"/>
    <w:sectPr w:rsidSect="00AB76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6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60B" w:rsidRPr="00935F6C" w:rsidP="00935F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6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6C" w:rsidP="00AB76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5F6C" w:rsidP="00AB760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935F6C" w:rsidP="00AB76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6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760B" w:rsidRPr="00935F6C" w:rsidP="00935F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6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6C" w:rsidRPr="002D2AF8" w:rsidP="00AB760B">
    <w:pPr>
      <w:pStyle w:val="Header"/>
      <w:framePr w:wrap="around"/>
    </w:pPr>
    <w:r>
      <w:fldChar w:fldCharType="begin"/>
    </w:r>
    <w:r>
      <w:instrText xml:space="preserve"> TITLE   \* MERGEFORMAT </w:instrText>
    </w:r>
    <w:r>
      <w:fldChar w:fldCharType="separate"/>
    </w:r>
    <w:r>
      <w:t>CPCCSG3003 Colour manage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935F6C" w:rsidP="00AB76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A0AB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B8A8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6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760B"/>
    <w:pPr>
      <w:spacing w:before="360" w:after="60"/>
      <w:outlineLvl w:val="0"/>
    </w:pPr>
    <w:rPr>
      <w:sz w:val="32"/>
    </w:rPr>
  </w:style>
  <w:style w:type="paragraph" w:styleId="Heading2">
    <w:name w:val="heading 2"/>
    <w:basedOn w:val="HeadingBase"/>
    <w:next w:val="BodyText"/>
    <w:link w:val="Heading2Char"/>
    <w:qFormat/>
    <w:rsid w:val="00AB760B"/>
    <w:pPr>
      <w:keepLines/>
      <w:spacing w:before="240" w:after="120"/>
      <w:outlineLvl w:val="1"/>
    </w:pPr>
    <w:rPr>
      <w:sz w:val="28"/>
      <w:szCs w:val="40"/>
    </w:rPr>
  </w:style>
  <w:style w:type="paragraph" w:styleId="Heading3">
    <w:name w:val="heading 3"/>
    <w:basedOn w:val="HeadingBase"/>
    <w:next w:val="BodyText"/>
    <w:link w:val="Heading3Char"/>
    <w:qFormat/>
    <w:rsid w:val="00AB760B"/>
    <w:pPr>
      <w:spacing w:before="180" w:after="120"/>
      <w:outlineLvl w:val="2"/>
    </w:pPr>
    <w:rPr>
      <w:spacing w:val="-10"/>
      <w:kern w:val="32"/>
    </w:rPr>
  </w:style>
  <w:style w:type="paragraph" w:styleId="Heading4">
    <w:name w:val="heading 4"/>
    <w:basedOn w:val="HeadingBase"/>
    <w:next w:val="BodyText"/>
    <w:link w:val="Heading4Char"/>
    <w:qFormat/>
    <w:rsid w:val="00AB760B"/>
    <w:pPr>
      <w:spacing w:before="160" w:after="120"/>
      <w:outlineLvl w:val="3"/>
    </w:pPr>
    <w:rPr>
      <w:sz w:val="22"/>
    </w:rPr>
  </w:style>
  <w:style w:type="paragraph" w:styleId="Heading5">
    <w:name w:val="heading 5"/>
    <w:basedOn w:val="HeadingBase"/>
    <w:next w:val="Normal"/>
    <w:link w:val="Heading5Char"/>
    <w:qFormat/>
    <w:rsid w:val="00AB760B"/>
    <w:pPr>
      <w:spacing w:before="80"/>
      <w:outlineLvl w:val="4"/>
    </w:pPr>
    <w:rPr>
      <w:color w:val="918585"/>
      <w:sz w:val="20"/>
    </w:rPr>
  </w:style>
  <w:style w:type="paragraph" w:styleId="Heading6">
    <w:name w:val="heading 6"/>
    <w:basedOn w:val="HeadingBase"/>
    <w:next w:val="Normal"/>
    <w:link w:val="Heading6Char"/>
    <w:qFormat/>
    <w:rsid w:val="00AB760B"/>
    <w:pPr>
      <w:spacing w:before="60"/>
      <w:outlineLvl w:val="5"/>
    </w:pPr>
    <w:rPr>
      <w:color w:val="918585"/>
      <w:sz w:val="20"/>
    </w:rPr>
  </w:style>
  <w:style w:type="paragraph" w:styleId="Heading7">
    <w:name w:val="heading 7"/>
    <w:basedOn w:val="Normal"/>
    <w:next w:val="Normal"/>
    <w:link w:val="Heading7Char"/>
    <w:qFormat/>
    <w:rsid w:val="00AB760B"/>
    <w:pPr>
      <w:ind w:left="720"/>
      <w:outlineLvl w:val="6"/>
    </w:pPr>
    <w:rPr>
      <w:i/>
    </w:rPr>
  </w:style>
  <w:style w:type="paragraph" w:styleId="Heading8">
    <w:name w:val="heading 8"/>
    <w:basedOn w:val="Normal"/>
    <w:next w:val="Normal"/>
    <w:link w:val="Heading8Char"/>
    <w:qFormat/>
    <w:rsid w:val="00AB760B"/>
    <w:pPr>
      <w:ind w:left="720"/>
      <w:outlineLvl w:val="7"/>
    </w:pPr>
    <w:rPr>
      <w:i/>
    </w:rPr>
  </w:style>
  <w:style w:type="paragraph" w:styleId="Heading9">
    <w:name w:val="heading 9"/>
    <w:basedOn w:val="Normal"/>
    <w:next w:val="Normal"/>
    <w:link w:val="Heading9Char"/>
    <w:qFormat/>
    <w:rsid w:val="00AB760B"/>
    <w:pPr>
      <w:ind w:left="720"/>
      <w:outlineLvl w:val="8"/>
    </w:pPr>
    <w:rPr>
      <w:i/>
    </w:rPr>
  </w:style>
  <w:style w:type="character" w:default="1" w:styleId="DefaultParagraphFont">
    <w:name w:val="Default Paragraph Font"/>
    <w:uiPriority w:val="1"/>
    <w:unhideWhenUsed/>
    <w:rsid w:val="00AB76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60B"/>
  </w:style>
  <w:style w:type="character" w:customStyle="1" w:styleId="Heading1Char">
    <w:name w:val="Heading 1 Char"/>
    <w:basedOn w:val="DefaultParagraphFont"/>
    <w:link w:val="Heading1"/>
    <w:rsid w:val="00AB760B"/>
    <w:rPr>
      <w:rFonts w:ascii="Times New Roman" w:eastAsia="Times New Roman" w:hAnsi="Times New Roman" w:cs="Times New Roman"/>
      <w:b/>
      <w:sz w:val="32"/>
      <w:szCs w:val="20"/>
      <w:lang w:eastAsia="en-US"/>
    </w:rPr>
  </w:style>
  <w:style w:type="paragraph" w:styleId="BodyText">
    <w:name w:val="Body Text"/>
    <w:basedOn w:val="Normal"/>
    <w:link w:val="BodyTextChar"/>
    <w:rsid w:val="00AB76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760B"/>
    <w:rPr>
      <w:rFonts w:ascii="Times New Roman" w:eastAsia="Times New Roman" w:hAnsi="Times New Roman" w:cs="Times New Roman"/>
      <w:sz w:val="24"/>
      <w:lang w:eastAsia="en-US"/>
    </w:rPr>
  </w:style>
  <w:style w:type="paragraph" w:styleId="ListBullet">
    <w:name w:val="List Bullet"/>
    <w:basedOn w:val="List"/>
    <w:rsid w:val="00AB760B"/>
    <w:pPr>
      <w:numPr>
        <w:numId w:val="11"/>
      </w:numPr>
      <w:tabs>
        <w:tab w:val="clear" w:pos="340"/>
      </w:tabs>
      <w:spacing w:before="40" w:after="40"/>
    </w:pPr>
  </w:style>
  <w:style w:type="character" w:customStyle="1" w:styleId="SpecialBold">
    <w:name w:val="Special Bold"/>
    <w:basedOn w:val="DefaultParagraphFont"/>
    <w:rsid w:val="00AB760B"/>
    <w:rPr>
      <w:b/>
      <w:spacing w:val="0"/>
    </w:rPr>
  </w:style>
  <w:style w:type="paragraph" w:customStyle="1" w:styleId="SuperHeading">
    <w:name w:val="SuperHeading"/>
    <w:basedOn w:val="Normal"/>
    <w:rsid w:val="00AB760B"/>
    <w:pPr>
      <w:spacing w:before="240" w:after="120"/>
      <w:outlineLvl w:val="0"/>
    </w:pPr>
    <w:rPr>
      <w:rFonts w:ascii="Times New Roman" w:hAnsi="Times New Roman"/>
      <w:b/>
      <w:sz w:val="32"/>
    </w:rPr>
  </w:style>
  <w:style w:type="paragraph" w:customStyle="1" w:styleId="AllowPageBreak">
    <w:name w:val="AllowPageBreak"/>
    <w:rsid w:val="00AB76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B760B"/>
    <w:rPr>
      <w:b/>
      <w:i/>
      <w:u w:val="none"/>
    </w:rPr>
  </w:style>
  <w:style w:type="character" w:customStyle="1" w:styleId="Heading2Char">
    <w:name w:val="Heading 2 Char"/>
    <w:basedOn w:val="DefaultParagraphFont"/>
    <w:link w:val="Heading2"/>
    <w:rsid w:val="00AB76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6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6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6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6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6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76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760B"/>
    <w:rPr>
      <w:rFonts w:ascii="Courier New" w:eastAsia="Times New Roman" w:hAnsi="Courier New" w:cs="Times New Roman"/>
      <w:i/>
      <w:szCs w:val="20"/>
      <w:lang w:eastAsia="en-US"/>
    </w:rPr>
  </w:style>
  <w:style w:type="paragraph" w:customStyle="1" w:styleId="HeadingBase">
    <w:name w:val="Heading Base"/>
    <w:rsid w:val="00AB76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60B"/>
    <w:pPr>
      <w:tabs>
        <w:tab w:val="right" w:leader="dot" w:pos="9072"/>
      </w:tabs>
      <w:ind w:left="567"/>
    </w:pPr>
    <w:rPr>
      <w:szCs w:val="22"/>
    </w:rPr>
  </w:style>
  <w:style w:type="paragraph" w:customStyle="1" w:styleId="TOCBase">
    <w:name w:val="TOC Base"/>
    <w:rsid w:val="00AB76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60B"/>
    <w:pPr>
      <w:tabs>
        <w:tab w:val="right" w:leader="dot" w:pos="9072"/>
      </w:tabs>
      <w:spacing w:before="40" w:after="40"/>
      <w:ind w:left="284"/>
    </w:pPr>
    <w:rPr>
      <w:rFonts w:ascii="Times New Roman" w:hAnsi="Times New Roman"/>
    </w:rPr>
  </w:style>
  <w:style w:type="paragraph" w:styleId="TOC1">
    <w:name w:val="toc 1"/>
    <w:basedOn w:val="TOCBase"/>
    <w:next w:val="Normal"/>
    <w:rsid w:val="00AB76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76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60B"/>
    <w:rPr>
      <w:rFonts w:ascii="Times New Roman" w:eastAsia="Times New Roman" w:hAnsi="Times New Roman" w:cs="Times New Roman"/>
      <w:sz w:val="16"/>
      <w:lang w:eastAsia="en-US"/>
    </w:rPr>
  </w:style>
  <w:style w:type="paragraph" w:styleId="Title">
    <w:name w:val="Title"/>
    <w:basedOn w:val="HeadingBase"/>
    <w:link w:val="TitleChar"/>
    <w:qFormat/>
    <w:rsid w:val="00AB760B"/>
    <w:pPr>
      <w:spacing w:before="5040"/>
      <w:jc w:val="center"/>
    </w:pPr>
    <w:rPr>
      <w:sz w:val="48"/>
      <w:szCs w:val="72"/>
      <w:lang w:val="en-US"/>
    </w:rPr>
  </w:style>
  <w:style w:type="character" w:customStyle="1" w:styleId="TitleChar">
    <w:name w:val="Title Char"/>
    <w:basedOn w:val="DefaultParagraphFont"/>
    <w:link w:val="Title"/>
    <w:rsid w:val="00AB76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60B"/>
    <w:pPr>
      <w:tabs>
        <w:tab w:val="left" w:pos="3600"/>
        <w:tab w:val="left" w:pos="3958"/>
      </w:tabs>
    </w:pPr>
  </w:style>
  <w:style w:type="paragraph" w:styleId="List">
    <w:name w:val="List"/>
    <w:basedOn w:val="BodyText"/>
    <w:next w:val="BodyText"/>
    <w:rsid w:val="00AB760B"/>
    <w:pPr>
      <w:tabs>
        <w:tab w:val="left" w:pos="340"/>
      </w:tabs>
      <w:spacing w:before="60" w:after="60"/>
      <w:ind w:left="340" w:hanging="340"/>
    </w:pPr>
  </w:style>
  <w:style w:type="paragraph" w:customStyle="1" w:styleId="Note">
    <w:name w:val="Note"/>
    <w:basedOn w:val="BodyText"/>
    <w:rsid w:val="00AB76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760B"/>
    <w:pPr>
      <w:framePr w:wrap="auto" w:hAnchor="text" w:y="6049"/>
    </w:pPr>
    <w:rPr>
      <w:color w:val="000000"/>
      <w:sz w:val="40"/>
    </w:rPr>
  </w:style>
  <w:style w:type="paragraph" w:customStyle="1" w:styleId="TOCTitle">
    <w:name w:val="TOCTitle"/>
    <w:basedOn w:val="Heading1"/>
    <w:rsid w:val="00AB760B"/>
    <w:pPr>
      <w:spacing w:after="240"/>
      <w:jc w:val="center"/>
      <w:outlineLvl w:val="9"/>
    </w:pPr>
    <w:rPr>
      <w:caps/>
    </w:rPr>
  </w:style>
  <w:style w:type="paragraph" w:customStyle="1" w:styleId="Version">
    <w:name w:val="Version"/>
    <w:rsid w:val="00AB76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760B"/>
    <w:pPr>
      <w:numPr>
        <w:numId w:val="12"/>
      </w:numPr>
      <w:tabs>
        <w:tab w:val="clear" w:pos="680"/>
      </w:tabs>
    </w:pPr>
  </w:style>
  <w:style w:type="paragraph" w:styleId="Index1">
    <w:name w:val="index 1"/>
    <w:basedOn w:val="Normal"/>
    <w:next w:val="Normal"/>
    <w:semiHidden/>
    <w:rsid w:val="00AB760B"/>
    <w:pPr>
      <w:keepNext w:val="0"/>
      <w:tabs>
        <w:tab w:val="right" w:pos="4176"/>
      </w:tabs>
      <w:ind w:left="198" w:hanging="198"/>
    </w:pPr>
    <w:rPr>
      <w:rFonts w:ascii="Garamond" w:hAnsi="Garamond"/>
    </w:rPr>
  </w:style>
  <w:style w:type="paragraph" w:styleId="IndexHeading">
    <w:name w:val="index heading"/>
    <w:basedOn w:val="Normal"/>
    <w:next w:val="Index1"/>
    <w:semiHidden/>
    <w:rsid w:val="00AB760B"/>
    <w:pPr>
      <w:spacing w:before="120" w:after="120"/>
    </w:pPr>
    <w:rPr>
      <w:rFonts w:ascii="Arial" w:hAnsi="Arial"/>
      <w:b/>
      <w:color w:val="918585"/>
      <w:sz w:val="24"/>
    </w:rPr>
  </w:style>
  <w:style w:type="paragraph" w:styleId="Header">
    <w:name w:val="header"/>
    <w:basedOn w:val="Normal"/>
    <w:link w:val="HeaderChar"/>
    <w:rsid w:val="00AB76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60B"/>
    <w:rPr>
      <w:rFonts w:ascii="Times New Roman" w:eastAsia="Times New Roman" w:hAnsi="Times New Roman" w:cs="Times New Roman"/>
      <w:sz w:val="16"/>
      <w:szCs w:val="20"/>
      <w:lang w:val="en-GB" w:eastAsia="en-US"/>
    </w:rPr>
  </w:style>
  <w:style w:type="paragraph" w:customStyle="1" w:styleId="Chapter">
    <w:name w:val="Chapter"/>
    <w:basedOn w:val="Normal"/>
    <w:rsid w:val="00AB760B"/>
    <w:pPr>
      <w:spacing w:before="240"/>
    </w:pPr>
    <w:rPr>
      <w:rFonts w:ascii="Times New Roman" w:hAnsi="Times New Roman"/>
      <w:smallCaps/>
      <w:spacing w:val="80"/>
      <w:sz w:val="28"/>
    </w:rPr>
  </w:style>
  <w:style w:type="paragraph" w:customStyle="1" w:styleId="InChapter">
    <w:name w:val="InChapter"/>
    <w:basedOn w:val="Heading3"/>
    <w:rsid w:val="00AB760B"/>
    <w:pPr>
      <w:spacing w:after="240"/>
      <w:outlineLvl w:val="9"/>
    </w:pPr>
    <w:rPr>
      <w:noProof/>
    </w:rPr>
  </w:style>
  <w:style w:type="paragraph" w:styleId="Index2">
    <w:name w:val="index 2"/>
    <w:basedOn w:val="Normal"/>
    <w:next w:val="Normal"/>
    <w:semiHidden/>
    <w:rsid w:val="00AB760B"/>
    <w:pPr>
      <w:tabs>
        <w:tab w:val="right" w:pos="4176"/>
      </w:tabs>
      <w:ind w:left="568" w:hanging="284"/>
    </w:pPr>
    <w:rPr>
      <w:rFonts w:ascii="Garamond" w:hAnsi="Garamond"/>
    </w:rPr>
  </w:style>
  <w:style w:type="paragraph" w:customStyle="1" w:styleId="Byline">
    <w:name w:val="Byline"/>
    <w:rsid w:val="00AB76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60B"/>
    <w:pPr>
      <w:tabs>
        <w:tab w:val="clear" w:pos="3600"/>
        <w:tab w:val="clear" w:pos="3958"/>
      </w:tabs>
      <w:jc w:val="right"/>
    </w:pPr>
  </w:style>
  <w:style w:type="character" w:styleId="Emphasis">
    <w:name w:val="Emphasis"/>
    <w:basedOn w:val="DefaultParagraphFont"/>
    <w:qFormat/>
    <w:rsid w:val="00AB760B"/>
    <w:rPr>
      <w:i/>
    </w:rPr>
  </w:style>
  <w:style w:type="paragraph" w:styleId="Caption">
    <w:name w:val="caption"/>
    <w:basedOn w:val="BodyText"/>
    <w:next w:val="Normal"/>
    <w:qFormat/>
    <w:rsid w:val="00AB760B"/>
    <w:pPr>
      <w:framePr w:w="2268" w:hSpace="181" w:vSpace="181" w:wrap="around" w:vAnchor="text" w:hAnchor="page" w:x="1135" w:y="285" w:anchorLock="1"/>
    </w:pPr>
    <w:rPr>
      <w:i/>
    </w:rPr>
  </w:style>
  <w:style w:type="paragraph" w:customStyle="1" w:styleId="MiniTOCTitle">
    <w:name w:val="MiniTOCTitle"/>
    <w:basedOn w:val="Heading4"/>
    <w:rsid w:val="00AB760B"/>
    <w:pPr>
      <w:spacing w:before="240"/>
      <w:outlineLvl w:val="9"/>
    </w:pPr>
    <w:rPr>
      <w:noProof/>
      <w:sz w:val="24"/>
    </w:rPr>
  </w:style>
  <w:style w:type="paragraph" w:customStyle="1" w:styleId="MiniTOCItem">
    <w:name w:val="MiniTOCItem"/>
    <w:basedOn w:val="ListBullet"/>
    <w:rsid w:val="00AB760B"/>
    <w:pPr>
      <w:numPr>
        <w:numId w:val="0"/>
      </w:numPr>
      <w:tabs>
        <w:tab w:val="right" w:leader="dot" w:pos="6521"/>
      </w:tabs>
      <w:spacing w:before="0" w:after="0"/>
    </w:pPr>
  </w:style>
  <w:style w:type="paragraph" w:customStyle="1" w:styleId="TOFTitle">
    <w:name w:val="TOFTitle"/>
    <w:basedOn w:val="TOCTitle"/>
    <w:rsid w:val="00AB760B"/>
  </w:style>
  <w:style w:type="paragraph" w:styleId="TableofFigures">
    <w:name w:val="table of figures"/>
    <w:basedOn w:val="Normal"/>
    <w:next w:val="Normal"/>
    <w:semiHidden/>
    <w:rsid w:val="00AB760B"/>
    <w:pPr>
      <w:tabs>
        <w:tab w:val="right" w:leader="dot" w:pos="9072"/>
      </w:tabs>
      <w:ind w:left="970" w:hanging="403"/>
    </w:pPr>
    <w:rPr>
      <w:rFonts w:ascii="Times New Roman" w:hAnsi="Times New Roman"/>
      <w:b/>
    </w:rPr>
  </w:style>
  <w:style w:type="paragraph" w:styleId="ListNumber">
    <w:name w:val="List Number"/>
    <w:basedOn w:val="List"/>
    <w:rsid w:val="00AB760B"/>
    <w:pPr>
      <w:numPr>
        <w:numId w:val="14"/>
      </w:numPr>
      <w:tabs>
        <w:tab w:val="clear" w:pos="340"/>
      </w:tabs>
    </w:pPr>
  </w:style>
  <w:style w:type="character" w:customStyle="1" w:styleId="WingdingSymbols">
    <w:name w:val="Wingding Symbols"/>
    <w:rsid w:val="00AB760B"/>
    <w:rPr>
      <w:rFonts w:ascii="Wingdings" w:hAnsi="Wingdings"/>
    </w:rPr>
  </w:style>
  <w:style w:type="paragraph" w:customStyle="1" w:styleId="TableHeading">
    <w:name w:val="Table Heading"/>
    <w:basedOn w:val="HeadingBase"/>
    <w:rsid w:val="00AB760B"/>
    <w:pPr>
      <w:keepLines/>
      <w:pBdr>
        <w:bottom w:val="single" w:sz="6" w:space="1" w:color="918585"/>
      </w:pBdr>
      <w:spacing w:before="240"/>
    </w:pPr>
  </w:style>
  <w:style w:type="character" w:customStyle="1" w:styleId="HotSpot">
    <w:name w:val="HotSpot"/>
    <w:rsid w:val="00AB760B"/>
    <w:rPr>
      <w:color w:val="0033CC"/>
      <w:u w:val="none"/>
    </w:rPr>
  </w:style>
  <w:style w:type="paragraph" w:customStyle="1" w:styleId="BodyTextRight">
    <w:name w:val="Body Text Right"/>
    <w:basedOn w:val="BodyText"/>
    <w:rsid w:val="00AB760B"/>
    <w:pPr>
      <w:spacing w:before="0" w:after="0"/>
      <w:jc w:val="right"/>
    </w:pPr>
  </w:style>
  <w:style w:type="paragraph" w:styleId="Index3">
    <w:name w:val="index 3"/>
    <w:basedOn w:val="ListNumber2"/>
    <w:next w:val="Normal"/>
    <w:semiHidden/>
    <w:rsid w:val="00AB760B"/>
    <w:pPr>
      <w:numPr>
        <w:numId w:val="0"/>
      </w:numPr>
      <w:tabs>
        <w:tab w:val="right" w:leader="dot" w:pos="4176"/>
      </w:tabs>
    </w:pPr>
  </w:style>
  <w:style w:type="paragraph" w:styleId="ListNumber2">
    <w:name w:val="List Number 2"/>
    <w:basedOn w:val="List2"/>
    <w:rsid w:val="00AB760B"/>
    <w:pPr>
      <w:numPr>
        <w:numId w:val="9"/>
      </w:numPr>
      <w:tabs>
        <w:tab w:val="clear" w:pos="1060"/>
      </w:tabs>
    </w:pPr>
  </w:style>
  <w:style w:type="paragraph" w:customStyle="1" w:styleId="MarginNote">
    <w:name w:val="Margin Note"/>
    <w:basedOn w:val="BodyText"/>
    <w:rsid w:val="00AB76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6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6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760B"/>
    <w:rPr>
      <w:sz w:val="32"/>
    </w:rPr>
  </w:style>
  <w:style w:type="paragraph" w:customStyle="1" w:styleId="HeadingProcedure">
    <w:name w:val="Heading Procedure"/>
    <w:basedOn w:val="HeadingBase"/>
    <w:next w:val="Normal"/>
    <w:rsid w:val="00AB760B"/>
    <w:pPr>
      <w:tabs>
        <w:tab w:val="left" w:pos="0"/>
      </w:tabs>
      <w:spacing w:before="120" w:after="60"/>
    </w:pPr>
    <w:rPr>
      <w:i/>
      <w:color w:val="918585"/>
      <w:sz w:val="22"/>
    </w:rPr>
  </w:style>
  <w:style w:type="paragraph" w:customStyle="1" w:styleId="TableBodyText">
    <w:name w:val="Table Body Text"/>
    <w:basedOn w:val="BodyText"/>
    <w:rsid w:val="00AB760B"/>
    <w:pPr>
      <w:spacing w:before="60" w:after="60"/>
    </w:pPr>
  </w:style>
  <w:style w:type="paragraph" w:styleId="ListContinue">
    <w:name w:val="List Continue"/>
    <w:basedOn w:val="List"/>
    <w:rsid w:val="00AB760B"/>
    <w:pPr>
      <w:ind w:firstLine="0"/>
    </w:pPr>
  </w:style>
  <w:style w:type="paragraph" w:customStyle="1" w:styleId="ListNote">
    <w:name w:val="List Note"/>
    <w:basedOn w:val="List"/>
    <w:rsid w:val="00AB760B"/>
    <w:pPr>
      <w:pBdr>
        <w:top w:val="single" w:sz="6" w:space="2" w:color="918585"/>
        <w:bottom w:val="single" w:sz="6" w:space="2" w:color="918585"/>
      </w:pBdr>
      <w:tabs>
        <w:tab w:val="left" w:pos="1021"/>
      </w:tabs>
      <w:ind w:firstLine="0"/>
    </w:pPr>
  </w:style>
  <w:style w:type="paragraph" w:customStyle="1" w:styleId="Warning">
    <w:name w:val="Warning"/>
    <w:basedOn w:val="BodyText"/>
    <w:rsid w:val="00AB760B"/>
    <w:pPr>
      <w:shd w:val="clear" w:color="auto" w:fill="D9D9D9"/>
      <w:tabs>
        <w:tab w:val="left" w:pos="992"/>
      </w:tabs>
      <w:ind w:left="119" w:right="119"/>
    </w:pPr>
    <w:rPr>
      <w:sz w:val="20"/>
    </w:rPr>
  </w:style>
  <w:style w:type="paragraph" w:customStyle="1" w:styleId="MarginIcons">
    <w:name w:val="Margin Icons"/>
    <w:basedOn w:val="BodyText"/>
    <w:rsid w:val="00AB76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60B"/>
    <w:rPr>
      <w:rFonts w:ascii="Courier New" w:hAnsi="Courier New"/>
    </w:rPr>
  </w:style>
  <w:style w:type="paragraph" w:customStyle="1" w:styleId="NoteBullet">
    <w:name w:val="Note Bullet"/>
    <w:basedOn w:val="Note"/>
    <w:rsid w:val="00AB760B"/>
    <w:pPr>
      <w:tabs>
        <w:tab w:val="clear" w:pos="680"/>
      </w:tabs>
      <w:spacing w:before="60" w:after="60"/>
    </w:pPr>
  </w:style>
  <w:style w:type="paragraph" w:customStyle="1" w:styleId="SubHeading2">
    <w:name w:val="SubHeading2"/>
    <w:basedOn w:val="HeadingBase"/>
    <w:rsid w:val="00AB760B"/>
    <w:pPr>
      <w:spacing w:before="240" w:after="60"/>
    </w:pPr>
    <w:rPr>
      <w:sz w:val="20"/>
    </w:rPr>
  </w:style>
  <w:style w:type="paragraph" w:customStyle="1" w:styleId="SubHeading1">
    <w:name w:val="SubHeading1"/>
    <w:basedOn w:val="HeadingBase"/>
    <w:rsid w:val="00AB760B"/>
    <w:pPr>
      <w:spacing w:before="240" w:after="60"/>
    </w:pPr>
    <w:rPr>
      <w:color w:val="918585"/>
      <w:sz w:val="22"/>
    </w:rPr>
  </w:style>
  <w:style w:type="paragraph" w:customStyle="1" w:styleId="SideHeading">
    <w:name w:val="Side Heading"/>
    <w:basedOn w:val="HeadingBase"/>
    <w:rsid w:val="00AB76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60B"/>
    <w:pPr>
      <w:numPr>
        <w:numId w:val="10"/>
      </w:numPr>
    </w:pPr>
  </w:style>
  <w:style w:type="paragraph" w:styleId="PlainText">
    <w:name w:val="Plain Text"/>
    <w:basedOn w:val="Normal"/>
    <w:link w:val="PlainTextChar"/>
    <w:rsid w:val="00AB760B"/>
    <w:rPr>
      <w:sz w:val="20"/>
    </w:rPr>
  </w:style>
  <w:style w:type="character" w:customStyle="1" w:styleId="PlainTextChar">
    <w:name w:val="Plain Text Char"/>
    <w:basedOn w:val="DefaultParagraphFont"/>
    <w:link w:val="PlainText"/>
    <w:rsid w:val="00AB760B"/>
    <w:rPr>
      <w:rFonts w:ascii="Courier New" w:eastAsia="Times New Roman" w:hAnsi="Courier New" w:cs="Times New Roman"/>
      <w:sz w:val="20"/>
      <w:szCs w:val="20"/>
      <w:lang w:eastAsia="en-US"/>
    </w:rPr>
  </w:style>
  <w:style w:type="character" w:customStyle="1" w:styleId="MenuOption">
    <w:name w:val="Menu Option"/>
    <w:basedOn w:val="DefaultParagraphFont"/>
    <w:rsid w:val="00AB760B"/>
    <w:rPr>
      <w:b/>
      <w:smallCaps/>
    </w:rPr>
  </w:style>
  <w:style w:type="paragraph" w:customStyle="1" w:styleId="TableListNumber">
    <w:name w:val="Table List Number"/>
    <w:basedOn w:val="ListNumber"/>
    <w:rsid w:val="00AB760B"/>
    <w:pPr>
      <w:numPr>
        <w:numId w:val="0"/>
      </w:numPr>
    </w:pPr>
  </w:style>
  <w:style w:type="paragraph" w:styleId="TOC4">
    <w:name w:val="toc 4"/>
    <w:basedOn w:val="TOCBase"/>
    <w:next w:val="Normal"/>
    <w:semiHidden/>
    <w:rsid w:val="00AB760B"/>
    <w:pPr>
      <w:tabs>
        <w:tab w:val="right" w:leader="dot" w:pos="9071"/>
      </w:tabs>
      <w:ind w:left="1701"/>
    </w:pPr>
  </w:style>
  <w:style w:type="paragraph" w:customStyle="1" w:styleId="ListAlpha">
    <w:name w:val="List Alpha"/>
    <w:basedOn w:val="List"/>
    <w:rsid w:val="00AB760B"/>
    <w:pPr>
      <w:numPr>
        <w:numId w:val="8"/>
      </w:numPr>
    </w:pPr>
  </w:style>
  <w:style w:type="paragraph" w:customStyle="1" w:styleId="ListAlpha2">
    <w:name w:val="List Alpha 2"/>
    <w:basedOn w:val="List2"/>
    <w:rsid w:val="00AB760B"/>
    <w:pPr>
      <w:numPr>
        <w:numId w:val="7"/>
      </w:numPr>
    </w:pPr>
  </w:style>
  <w:style w:type="paragraph" w:styleId="List2">
    <w:name w:val="List 2"/>
    <w:basedOn w:val="BodyText"/>
    <w:rsid w:val="00AB760B"/>
    <w:pPr>
      <w:tabs>
        <w:tab w:val="left" w:pos="680"/>
      </w:tabs>
      <w:spacing w:before="60" w:after="60"/>
      <w:ind w:left="680" w:hanging="340"/>
    </w:pPr>
  </w:style>
  <w:style w:type="paragraph" w:styleId="List3">
    <w:name w:val="List 3"/>
    <w:basedOn w:val="BodyText"/>
    <w:rsid w:val="00AB760B"/>
    <w:pPr>
      <w:tabs>
        <w:tab w:val="left" w:pos="1021"/>
      </w:tabs>
      <w:spacing w:before="60" w:after="60"/>
      <w:ind w:left="1020" w:hanging="340"/>
    </w:pPr>
  </w:style>
  <w:style w:type="paragraph" w:styleId="List4">
    <w:name w:val="List 4"/>
    <w:basedOn w:val="BodyText"/>
    <w:rsid w:val="00AB760B"/>
    <w:pPr>
      <w:tabs>
        <w:tab w:val="left" w:pos="1361"/>
      </w:tabs>
      <w:spacing w:before="60" w:after="60"/>
      <w:ind w:left="1361" w:hanging="340"/>
    </w:pPr>
  </w:style>
  <w:style w:type="paragraph" w:styleId="List5">
    <w:name w:val="List 5"/>
    <w:basedOn w:val="BodyText"/>
    <w:rsid w:val="00AB760B"/>
    <w:pPr>
      <w:tabs>
        <w:tab w:val="left" w:pos="1701"/>
      </w:tabs>
      <w:spacing w:before="60" w:after="60"/>
      <w:ind w:left="1701" w:hanging="340"/>
    </w:pPr>
  </w:style>
  <w:style w:type="paragraph" w:styleId="ListBullet3">
    <w:name w:val="List Bullet 3"/>
    <w:basedOn w:val="List3"/>
    <w:rsid w:val="00AB760B"/>
    <w:pPr>
      <w:numPr>
        <w:numId w:val="13"/>
      </w:numPr>
      <w:tabs>
        <w:tab w:val="clear" w:pos="1021"/>
      </w:tabs>
      <w:ind w:left="1037" w:hanging="357"/>
    </w:pPr>
  </w:style>
  <w:style w:type="paragraph" w:styleId="ListBullet4">
    <w:name w:val="List Bullet 4"/>
    <w:basedOn w:val="List4"/>
    <w:rsid w:val="00AB760B"/>
    <w:pPr>
      <w:numPr>
        <w:numId w:val="2"/>
      </w:numPr>
      <w:tabs>
        <w:tab w:val="clear" w:pos="1361"/>
      </w:tabs>
    </w:pPr>
  </w:style>
  <w:style w:type="paragraph" w:styleId="ListBullet5">
    <w:name w:val="List Bullet 5"/>
    <w:basedOn w:val="List5"/>
    <w:rsid w:val="00AB760B"/>
    <w:pPr>
      <w:numPr>
        <w:numId w:val="3"/>
      </w:numPr>
    </w:pPr>
  </w:style>
  <w:style w:type="paragraph" w:styleId="ListContinue2">
    <w:name w:val="List Continue 2"/>
    <w:basedOn w:val="List2"/>
    <w:rsid w:val="00AB760B"/>
    <w:pPr>
      <w:ind w:firstLine="0"/>
    </w:pPr>
  </w:style>
  <w:style w:type="paragraph" w:styleId="ListContinue3">
    <w:name w:val="List Continue 3"/>
    <w:basedOn w:val="List3"/>
    <w:rsid w:val="00AB760B"/>
    <w:pPr>
      <w:ind w:left="1021" w:firstLine="0"/>
    </w:pPr>
  </w:style>
  <w:style w:type="paragraph" w:styleId="ListContinue4">
    <w:name w:val="List Continue 4"/>
    <w:basedOn w:val="List4"/>
    <w:rsid w:val="00AB760B"/>
    <w:pPr>
      <w:ind w:firstLine="0"/>
    </w:pPr>
  </w:style>
  <w:style w:type="paragraph" w:styleId="ListContinue5">
    <w:name w:val="List Continue 5"/>
    <w:basedOn w:val="List5"/>
    <w:rsid w:val="00AB760B"/>
    <w:pPr>
      <w:ind w:firstLine="0"/>
    </w:pPr>
  </w:style>
  <w:style w:type="paragraph" w:styleId="ListNumber3">
    <w:name w:val="List Number 3"/>
    <w:basedOn w:val="List3"/>
    <w:rsid w:val="00AB760B"/>
    <w:pPr>
      <w:numPr>
        <w:numId w:val="4"/>
      </w:numPr>
    </w:pPr>
  </w:style>
  <w:style w:type="paragraph" w:styleId="ListNumber4">
    <w:name w:val="List Number 4"/>
    <w:basedOn w:val="List4"/>
    <w:rsid w:val="00AB760B"/>
    <w:pPr>
      <w:numPr>
        <w:numId w:val="5"/>
      </w:numPr>
    </w:pPr>
  </w:style>
  <w:style w:type="paragraph" w:styleId="ListNumber5">
    <w:name w:val="List Number 5"/>
    <w:basedOn w:val="List5"/>
    <w:rsid w:val="00AB760B"/>
    <w:pPr>
      <w:numPr>
        <w:numId w:val="6"/>
      </w:numPr>
    </w:pPr>
  </w:style>
  <w:style w:type="paragraph" w:styleId="BlockText">
    <w:name w:val="Block Text"/>
    <w:basedOn w:val="Normal"/>
    <w:rsid w:val="00AB760B"/>
    <w:pPr>
      <w:spacing w:after="120"/>
      <w:ind w:left="1440" w:right="1440"/>
    </w:pPr>
  </w:style>
  <w:style w:type="character" w:customStyle="1" w:styleId="Subscript">
    <w:name w:val="Subscript"/>
    <w:basedOn w:val="DefaultParagraphFont"/>
    <w:rsid w:val="00AB760B"/>
    <w:rPr>
      <w:sz w:val="16"/>
      <w:vertAlign w:val="subscript"/>
    </w:rPr>
  </w:style>
  <w:style w:type="character" w:customStyle="1" w:styleId="Superscript">
    <w:name w:val="Superscript"/>
    <w:basedOn w:val="DefaultParagraphFont"/>
    <w:rsid w:val="00AB760B"/>
    <w:rPr>
      <w:sz w:val="16"/>
      <w:vertAlign w:val="superscript"/>
    </w:rPr>
  </w:style>
  <w:style w:type="character" w:customStyle="1" w:styleId="Symbols">
    <w:name w:val="Symbols"/>
    <w:basedOn w:val="DefaultParagraphFont"/>
    <w:rsid w:val="00AB760B"/>
    <w:rPr>
      <w:rFonts w:ascii="Symbol" w:hAnsi="Symbol"/>
    </w:rPr>
  </w:style>
  <w:style w:type="character" w:customStyle="1" w:styleId="MenuOptions">
    <w:name w:val="Menu Options"/>
    <w:basedOn w:val="DefaultParagraphFont"/>
    <w:rsid w:val="00AB760B"/>
    <w:rPr>
      <w:rFonts w:ascii="Arial Narrow" w:hAnsi="Arial Narrow"/>
      <w:smallCaps/>
    </w:rPr>
  </w:style>
  <w:style w:type="character" w:customStyle="1" w:styleId="Buttons">
    <w:name w:val="Buttons"/>
    <w:basedOn w:val="DefaultParagraphFont"/>
    <w:rsid w:val="00AB760B"/>
    <w:rPr>
      <w:b/>
    </w:rPr>
  </w:style>
  <w:style w:type="character" w:customStyle="1" w:styleId="Underlined">
    <w:name w:val="Underlined"/>
    <w:basedOn w:val="DefaultParagraphFont"/>
    <w:rsid w:val="00AB760B"/>
    <w:rPr>
      <w:u w:val="single"/>
    </w:rPr>
  </w:style>
  <w:style w:type="paragraph" w:customStyle="1" w:styleId="TableBodyTextRight">
    <w:name w:val="Table Body Text Right"/>
    <w:basedOn w:val="TableBodyText"/>
    <w:rsid w:val="00AB760B"/>
    <w:pPr>
      <w:widowControl w:val="0"/>
      <w:autoSpaceDE w:val="0"/>
      <w:autoSpaceDN w:val="0"/>
      <w:adjustRightInd w:val="0"/>
      <w:jc w:val="right"/>
    </w:pPr>
    <w:rPr>
      <w:rFonts w:cs="Arial"/>
      <w:szCs w:val="18"/>
    </w:rPr>
  </w:style>
  <w:style w:type="paragraph" w:customStyle="1" w:styleId="CopyrightText">
    <w:name w:val="Copyright Text"/>
    <w:basedOn w:val="BodyText"/>
    <w:rsid w:val="00AB760B"/>
    <w:rPr>
      <w:sz w:val="18"/>
    </w:rPr>
  </w:style>
  <w:style w:type="paragraph" w:customStyle="1" w:styleId="BodySmallRight">
    <w:name w:val="Body Small Right"/>
    <w:basedOn w:val="BodyTextRight"/>
    <w:rsid w:val="00AB760B"/>
    <w:rPr>
      <w:sz w:val="18"/>
      <w:szCs w:val="18"/>
    </w:rPr>
  </w:style>
  <w:style w:type="paragraph" w:customStyle="1" w:styleId="MarginEdition">
    <w:name w:val="Margin Edition"/>
    <w:basedOn w:val="MarginNote"/>
    <w:rsid w:val="00AB760B"/>
    <w:pPr>
      <w:spacing w:before="0" w:after="0"/>
    </w:pPr>
    <w:rPr>
      <w:rFonts w:ascii="Times New Roman" w:hAnsi="Times New Roman"/>
      <w:color w:val="999999"/>
    </w:rPr>
  </w:style>
  <w:style w:type="paragraph" w:customStyle="1" w:styleId="Spacer">
    <w:name w:val="Spacer"/>
    <w:basedOn w:val="Normal"/>
    <w:rsid w:val="00AB760B"/>
    <w:rPr>
      <w:sz w:val="2"/>
      <w:szCs w:val="2"/>
    </w:rPr>
  </w:style>
  <w:style w:type="character" w:customStyle="1" w:styleId="Small">
    <w:name w:val="Small"/>
    <w:basedOn w:val="DefaultParagraphFont"/>
    <w:rsid w:val="00AB760B"/>
    <w:rPr>
      <w:sz w:val="16"/>
    </w:rPr>
  </w:style>
  <w:style w:type="paragraph" w:customStyle="1" w:styleId="WideTable">
    <w:name w:val="Wide Table"/>
    <w:basedOn w:val="Normal"/>
    <w:rsid w:val="00AB760B"/>
    <w:pPr>
      <w:ind w:left="-1418"/>
    </w:pPr>
    <w:rPr>
      <w:sz w:val="2"/>
      <w:szCs w:val="2"/>
    </w:rPr>
  </w:style>
  <w:style w:type="character" w:styleId="PageNumber">
    <w:name w:val="page number"/>
    <w:basedOn w:val="DefaultParagraphFont"/>
    <w:rsid w:val="00AB760B"/>
  </w:style>
  <w:style w:type="paragraph" w:styleId="Quote">
    <w:name w:val="Quote"/>
    <w:basedOn w:val="Heading1"/>
    <w:link w:val="QuoteChar"/>
    <w:qFormat/>
    <w:rsid w:val="00AB760B"/>
    <w:rPr>
      <w:b w:val="0"/>
      <w:sz w:val="72"/>
      <w:szCs w:val="72"/>
      <w:lang w:val="en-NZ"/>
    </w:rPr>
  </w:style>
  <w:style w:type="character" w:customStyle="1" w:styleId="QuoteChar">
    <w:name w:val="Quote Char"/>
    <w:basedOn w:val="DefaultParagraphFont"/>
    <w:link w:val="Quote"/>
    <w:rsid w:val="00AB76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60B"/>
    <w:pPr>
      <w:pageBreakBefore/>
    </w:pPr>
  </w:style>
  <w:style w:type="paragraph" w:customStyle="1" w:styleId="Border">
    <w:name w:val="Border"/>
    <w:basedOn w:val="Normal"/>
    <w:qFormat/>
    <w:rsid w:val="00AB76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60B"/>
    <w:rPr>
      <w:b/>
      <w:bCs/>
      <w:i/>
      <w:iCs/>
      <w:color w:val="auto"/>
    </w:rPr>
  </w:style>
  <w:style w:type="paragraph" w:styleId="IntenseQuote">
    <w:name w:val="Intense Quote"/>
    <w:basedOn w:val="Normal"/>
    <w:next w:val="Normal"/>
    <w:link w:val="IntenseQuoteChar"/>
    <w:uiPriority w:val="30"/>
    <w:qFormat/>
    <w:rsid w:val="00AB76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6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760B"/>
    <w:rPr>
      <w:smallCaps/>
      <w:color w:val="auto"/>
      <w:u w:val="single"/>
    </w:rPr>
  </w:style>
  <w:style w:type="character" w:styleId="IntenseReference">
    <w:name w:val="Intense Reference"/>
    <w:basedOn w:val="DefaultParagraphFont"/>
    <w:uiPriority w:val="32"/>
    <w:qFormat/>
    <w:rsid w:val="00AB760B"/>
    <w:rPr>
      <w:b/>
      <w:bCs/>
      <w:smallCaps/>
      <w:color w:val="auto"/>
      <w:spacing w:val="5"/>
      <w:u w:val="single"/>
    </w:rPr>
  </w:style>
  <w:style w:type="paragraph" w:customStyle="1" w:styleId="2ColumnHeading">
    <w:name w:val="2Column Heading"/>
    <w:basedOn w:val="BodyText"/>
    <w:qFormat/>
    <w:rsid w:val="00AB760B"/>
    <w:pPr>
      <w:spacing w:after="60"/>
      <w:ind w:left="-2268"/>
    </w:pPr>
    <w:rPr>
      <w:b/>
    </w:rPr>
  </w:style>
  <w:style w:type="paragraph" w:customStyle="1" w:styleId="Heading1TOC">
    <w:name w:val="Heading1 TOC"/>
    <w:basedOn w:val="Normal"/>
    <w:qFormat/>
    <w:rsid w:val="00AB760B"/>
    <w:pPr>
      <w:spacing w:before="240" w:after="120"/>
    </w:pPr>
    <w:rPr>
      <w:rFonts w:ascii="Times New Roman" w:hAnsi="Times New Roman"/>
      <w:b/>
      <w:sz w:val="32"/>
    </w:rPr>
  </w:style>
  <w:style w:type="paragraph" w:customStyle="1" w:styleId="Heading2TOC">
    <w:name w:val="Heading2 TOC"/>
    <w:basedOn w:val="Normal"/>
    <w:qFormat/>
    <w:rsid w:val="00AB760B"/>
    <w:pPr>
      <w:spacing w:before="240" w:after="60"/>
    </w:pPr>
    <w:rPr>
      <w:rFonts w:ascii="Times New Roman" w:hAnsi="Times New Roman"/>
      <w:b/>
      <w:sz w:val="28"/>
    </w:rPr>
  </w:style>
  <w:style w:type="character" w:customStyle="1" w:styleId="Underline">
    <w:name w:val="Underline"/>
    <w:basedOn w:val="DefaultParagraphFont"/>
    <w:qFormat/>
    <w:rsid w:val="00AB760B"/>
    <w:rPr>
      <w:u w:val="single"/>
    </w:rPr>
  </w:style>
  <w:style w:type="paragraph" w:styleId="BalloonText">
    <w:name w:val="Balloon Text"/>
    <w:basedOn w:val="Normal"/>
    <w:link w:val="BalloonTextChar"/>
    <w:rsid w:val="00AB760B"/>
    <w:rPr>
      <w:rFonts w:ascii="Tahoma" w:hAnsi="Tahoma" w:cs="Tahoma"/>
      <w:sz w:val="16"/>
      <w:szCs w:val="16"/>
    </w:rPr>
  </w:style>
  <w:style w:type="character" w:customStyle="1" w:styleId="BalloonTextChar">
    <w:name w:val="Balloon Text Char"/>
    <w:basedOn w:val="DefaultParagraphFont"/>
    <w:link w:val="BalloonText"/>
    <w:rsid w:val="00AB76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76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76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760B"/>
    <w:rPr>
      <w:b/>
      <w:color w:val="660033"/>
      <w:spacing w:val="0"/>
    </w:rPr>
  </w:style>
  <w:style w:type="paragraph" w:customStyle="1" w:styleId="Nameditemlist">
    <w:name w:val="Named item list"/>
    <w:basedOn w:val="BodyText"/>
    <w:qFormat/>
    <w:rsid w:val="00AB760B"/>
    <w:pPr>
      <w:tabs>
        <w:tab w:val="left" w:pos="2835"/>
      </w:tabs>
      <w:ind w:left="2835" w:hanging="2835"/>
    </w:pPr>
  </w:style>
  <w:style w:type="paragraph" w:customStyle="1" w:styleId="BodyTextnopadding">
    <w:name w:val="Body Text no padding"/>
    <w:basedOn w:val="BodyText"/>
    <w:qFormat/>
    <w:rsid w:val="00AB760B"/>
    <w:pPr>
      <w:spacing w:before="0" w:after="0"/>
    </w:pPr>
  </w:style>
  <w:style w:type="paragraph" w:customStyle="1" w:styleId="BodyTextBold">
    <w:name w:val="Body Text Bold"/>
    <w:basedOn w:val="BodyText"/>
    <w:qFormat/>
    <w:rsid w:val="00AB760B"/>
    <w:rPr>
      <w:b/>
    </w:rPr>
  </w:style>
  <w:style w:type="character" w:styleId="Hyperlink">
    <w:name w:val="Hyperlink"/>
    <w:basedOn w:val="DefaultParagraphFont"/>
    <w:uiPriority w:val="99"/>
    <w:unhideWhenUsed/>
    <w:rsid w:val="00935F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604</Words>
  <Characters>3748</Characters>
  <Application>Microsoft Office Word</Application>
  <DocSecurity>0</DocSecurity>
  <Lines>178</Lines>
  <Paragraphs>90</Paragraphs>
  <ScaleCrop>false</ScaleCrop>
  <Company>Author-it Software Corporation Ltd.</Company>
  <LinksUpToDate>false</LinksUpToDate>
  <CharactersWithSpaces>4262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CPCCSG3003 Colour manage signs</dc:title>
  <dc:subject>Approved</dc:subject>
  <dc:creator>BuildSkills Australia</dc:creator>
  <cp:keywords>Release: 1</cp:keywords>
  <dc:description>Review Date: 12 April 2008</dc:description>
  <cp:lastModifiedBy>HSD_TPCMSd.prod</cp:lastModifiedBy>
  <cp:revision>3</cp:revision>
  <dcterms:created xsi:type="dcterms:W3CDTF">2024-12-24T01:05:00Z</dcterms:created>
  <dcterms:modified xsi:type="dcterms:W3CDTF">2024-12-24T01:05:00Z</dcterms:modified>
</cp:coreProperties>
</file>