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CF9" w:rsidP="00822CF9">
      <w:pPr>
        <w:pStyle w:val="Title"/>
      </w:pPr>
      <w:r>
        <w:fldChar w:fldCharType="begin"/>
      </w:r>
      <w:r>
        <w:instrText xml:space="preserve"> TITLE   \* MERGEFORMAT </w:instrText>
      </w:r>
      <w:r>
        <w:fldChar w:fldCharType="separate"/>
      </w:r>
      <w:r>
        <w:t>CPCCSG3003 Colour manage signs</w:t>
      </w:r>
      <w:r>
        <w:fldChar w:fldCharType="end"/>
      </w:r>
    </w:p>
    <w:p w:rsidR="00822CF9" w:rsidP="00822CF9">
      <w:pPr>
        <w:pStyle w:val="Version"/>
        <w:sectPr w:rsidSect="002E0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DB2" w:rsidP="002E0DB2">
      <w:pPr>
        <w:pStyle w:val="SuperHeading"/>
      </w:pPr>
      <w:r w:rsidRPr="002E0DB2">
        <w:t>CPCCSG3003 Colour manage signs</w:t>
      </w:r>
    </w:p>
    <w:p w:rsidR="00000000" w:rsidRPr="002E0DB2" w:rsidP="002E0DB2">
      <w:pPr>
        <w:pStyle w:val="Heading1"/>
      </w:pPr>
      <w:bookmarkStart w:id="1" w:name="O_832062"/>
      <w:bookmarkEnd w:id="1"/>
      <w:r w:rsidRPr="002E0DB2">
        <w:t>Modification History</w:t>
      </w:r>
    </w:p>
    <w:p w:rsidR="00000000" w:rsidRPr="002E0DB2" w:rsidP="00822CF9">
      <w:pPr>
        <w:pStyle w:val="BodyText"/>
      </w:pPr>
      <w:r w:rsidRPr="002E0DB2">
        <w:t>Release 1.</w:t>
      </w:r>
    </w:p>
    <w:p w:rsidR="00000000" w:rsidRPr="002E0DB2" w:rsidP="00822CF9">
      <w:pPr>
        <w:pStyle w:val="BodyText"/>
      </w:pPr>
      <w:r w:rsidRPr="002E0DB2">
        <w:t>This version first released with CPC Construction, Plumbing and Services Training Package Version 2.</w:t>
      </w:r>
    </w:p>
    <w:p w:rsidR="00000000" w:rsidRPr="002E0DB2" w:rsidP="00822CF9">
      <w:pPr>
        <w:pStyle w:val="BodyText"/>
      </w:pPr>
      <w:r w:rsidRPr="002E0DB2">
        <w:t>Revised unit of competency. Replaces superseded non-equivalent CPCCSI2001A Use colour for signage.</w:t>
      </w:r>
    </w:p>
    <w:p w:rsidR="00000000" w:rsidRPr="002E0DB2" w:rsidP="002E0DB2">
      <w:pPr>
        <w:pStyle w:val="Heading1"/>
      </w:pPr>
      <w:bookmarkStart w:id="2" w:name="O_832070"/>
      <w:bookmarkEnd w:id="2"/>
      <w:r w:rsidRPr="002E0DB2">
        <w:t>Appli</w:t>
      </w:r>
      <w:r w:rsidRPr="002E0DB2">
        <w:t>cation</w:t>
      </w:r>
    </w:p>
    <w:p w:rsidR="00000000" w:rsidRPr="002E0DB2" w:rsidP="00822CF9">
      <w:pPr>
        <w:pStyle w:val="BodyText"/>
      </w:pPr>
      <w:r w:rsidRPr="002E0DB2">
        <w:t>This unit of competency specifies the outcomes required to assess and apply colour consistently across a range of visual media used to produce signs. It requires the application of colour theory and an ability to use industry-recognised software, ha</w:t>
      </w:r>
      <w:r w:rsidRPr="002E0DB2">
        <w:t>rdware and colour matching systems for a range of output devices.</w:t>
      </w:r>
    </w:p>
    <w:p w:rsidR="00000000" w:rsidRPr="002E0DB2" w:rsidP="00822CF9">
      <w:pPr>
        <w:pStyle w:val="BodyText"/>
      </w:pPr>
      <w:r w:rsidRPr="002E0DB2">
        <w:t>The unit supports sign manufacturers working with different media where the accuracy and consistency of colour are critical to the quality of the final product.</w:t>
      </w:r>
    </w:p>
    <w:p w:rsidR="00000000" w:rsidRPr="002E0DB2" w:rsidP="00822CF9">
      <w:pPr>
        <w:pStyle w:val="BodyText"/>
      </w:pPr>
      <w:r w:rsidRPr="002E0DB2">
        <w:t xml:space="preserve">No licensing, legislative, </w:t>
      </w:r>
      <w:r w:rsidRPr="002E0DB2">
        <w:t>regulatory or certification requirements apply to this unit of competency at the time of endorsement.</w:t>
      </w:r>
    </w:p>
    <w:p w:rsidR="00000000" w:rsidRPr="002E0DB2" w:rsidP="002E0DB2">
      <w:pPr>
        <w:pStyle w:val="Heading1"/>
      </w:pPr>
      <w:bookmarkStart w:id="3" w:name="O_832069"/>
      <w:bookmarkEnd w:id="3"/>
      <w:r w:rsidRPr="002E0DB2">
        <w:t>Pre-requisite Unit</w:t>
      </w:r>
    </w:p>
    <w:p w:rsidR="00000000" w:rsidRPr="002E0DB2" w:rsidP="00822CF9">
      <w:pPr>
        <w:pStyle w:val="BodyText"/>
      </w:pPr>
      <w:r w:rsidRPr="002E0DB2">
        <w:t>Nil</w:t>
      </w:r>
    </w:p>
    <w:p w:rsidR="00000000" w:rsidRPr="002E0DB2" w:rsidP="002E0DB2">
      <w:pPr>
        <w:pStyle w:val="Heading1"/>
      </w:pPr>
      <w:bookmarkStart w:id="4" w:name="O_832068"/>
      <w:bookmarkEnd w:id="4"/>
      <w:r w:rsidRPr="002E0DB2">
        <w:t>Competency Field</w:t>
      </w:r>
    </w:p>
    <w:p w:rsidR="00000000" w:rsidRPr="002E0DB2" w:rsidP="00822CF9">
      <w:pPr>
        <w:pStyle w:val="BodyText"/>
      </w:pPr>
      <w:r w:rsidRPr="002E0DB2">
        <w:t>Signs and graphics</w:t>
      </w:r>
    </w:p>
    <w:p w:rsidR="00000000" w:rsidRPr="002E0DB2" w:rsidP="002E0DB2">
      <w:pPr>
        <w:pStyle w:val="Heading1"/>
      </w:pPr>
      <w:bookmarkStart w:id="5" w:name="O_832067"/>
      <w:bookmarkEnd w:id="5"/>
      <w:r w:rsidRPr="002E0DB2">
        <w:t>Unit Sector</w:t>
      </w:r>
    </w:p>
    <w:p w:rsidR="00000000" w:rsidRPr="002E0DB2" w:rsidP="00822CF9">
      <w:pPr>
        <w:pStyle w:val="BodyText"/>
      </w:pPr>
      <w:r w:rsidRPr="002E0DB2">
        <w:t>Construction</w:t>
      </w:r>
    </w:p>
    <w:p w:rsidR="00000000" w:rsidRPr="002E0DB2" w:rsidP="002E0DB2">
      <w:pPr>
        <w:pStyle w:val="Heading1"/>
      </w:pPr>
      <w:bookmarkStart w:id="6" w:name="O_832066"/>
      <w:bookmarkEnd w:id="6"/>
      <w:r w:rsidRPr="002E0DB2">
        <w:t>El</w:t>
      </w:r>
      <w:r w:rsidRPr="002E0DB2">
        <w:t>ements and Performance Criteria</w:t>
      </w:r>
    </w:p>
    <w:tbl>
      <w:tblPr>
        <w:tblW w:w="0" w:type="auto"/>
        <w:tblLayout w:type="fixed"/>
        <w:tblCellMar>
          <w:left w:w="62" w:type="dxa"/>
          <w:right w:w="62" w:type="dxa"/>
        </w:tblCellMar>
        <w:tblLook w:val="0000"/>
      </w:tblPr>
      <w:tblGrid>
        <w:gridCol w:w="686"/>
        <w:gridCol w:w="1985"/>
        <w:gridCol w:w="779"/>
        <w:gridCol w:w="5678"/>
      </w:tblGrid>
      <w:tr w:rsidTr="002E0DB2">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 xml:space="preserve">Elements describe the </w:t>
            </w:r>
            <w:r w:rsidRPr="002E0DB2">
              <w:t>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 xml:space="preserve">Performance criteria describe the performance needed to </w:t>
            </w:r>
            <w:r w:rsidRPr="002E0DB2">
              <w:t xml:space="preserve">demonstrate achievement of the element. Where bold italicised text is used, further information is </w:t>
            </w:r>
            <w:r w:rsidRPr="002E0DB2">
              <w:t>detailed in the range of conditions.</w:t>
            </w:r>
          </w:p>
        </w:tc>
      </w:tr>
      <w:tr w:rsidTr="002E0DB2">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2E0DB2">
            <w:pPr>
              <w:pStyle w:val="BodyText"/>
              <w:rPr>
                <w:lang w:val="en-NZ"/>
              </w:rPr>
            </w:pPr>
          </w:p>
        </w:tc>
      </w:tr>
      <w:tr w:rsidTr="002E0D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1</w:t>
            </w:r>
          </w:p>
        </w:tc>
        <w:tc>
          <w:tcPr>
            <w:tcW w:w="1985" w:type="dxa"/>
            <w:vMerge w:val="restart"/>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Plan and prepare to manage colour.</w:t>
            </w:r>
          </w:p>
        </w:tc>
        <w:tc>
          <w:tcPr>
            <w:tcW w:w="779" w:type="dxa"/>
            <w:tcBorders>
              <w:top w:val="nil"/>
              <w:left w:val="nil"/>
              <w:bottom w:val="nil"/>
              <w:right w:val="nil"/>
            </w:tcBorders>
            <w:tcMar>
              <w:top w:w="0" w:type="dxa"/>
              <w:left w:w="62" w:type="dxa"/>
              <w:bottom w:w="0" w:type="dxa"/>
              <w:right w:w="62" w:type="dxa"/>
            </w:tcMar>
          </w:tcPr>
          <w:p w:rsidR="00000000" w:rsidRPr="002E0DB2" w:rsidP="002E0DB2">
            <w:pPr>
              <w:pStyle w:val="BodyText"/>
            </w:pPr>
            <w:r w:rsidRPr="002E0DB2">
              <w:t>1.1</w:t>
            </w:r>
          </w:p>
        </w:tc>
        <w:tc>
          <w:tcPr>
            <w:tcW w:w="5678"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rPr>
                <w:rStyle w:val="BoldandItalics"/>
              </w:rPr>
              <w:t xml:space="preserve">Job requirements </w:t>
            </w:r>
            <w:r w:rsidRPr="002E0DB2">
              <w:t>are identified from drawings, specifications, instructions and client briefs, confirmed, and applied to planning and preparation.</w:t>
            </w:r>
          </w:p>
        </w:tc>
      </w:tr>
      <w:tr w:rsidTr="002E0D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1.2</w:t>
            </w:r>
          </w:p>
        </w:tc>
        <w:tc>
          <w:tcPr>
            <w:tcW w:w="5678"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Colour matching system appropriate to the task is selected.</w:t>
            </w:r>
          </w:p>
        </w:tc>
      </w:tr>
      <w:tr w:rsidTr="002E0D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E0DB2" w:rsidP="002E0DB2">
            <w:pPr>
              <w:pStyle w:val="BodyText"/>
            </w:pPr>
            <w:r w:rsidRPr="002E0DB2">
              <w:t>1.3</w:t>
            </w:r>
          </w:p>
        </w:tc>
        <w:tc>
          <w:tcPr>
            <w:tcW w:w="5678"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rPr>
                <w:rStyle w:val="BoldandItalics"/>
              </w:rPr>
              <w:t>Digital devices</w:t>
            </w:r>
            <w:r w:rsidRPr="002E0DB2">
              <w:t xml:space="preserve"> used in production of signs are identified and calibrated for colour accuracy and consistency using industry-recognised calibration software and techniques, and faults are i</w:t>
            </w:r>
            <w:r w:rsidRPr="002E0DB2">
              <w:t>dentified and rectified or reported to relevant personnel before starting work.</w:t>
            </w:r>
          </w:p>
        </w:tc>
      </w:tr>
      <w:tr w:rsidTr="002E0D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1.4</w:t>
            </w:r>
          </w:p>
        </w:tc>
        <w:tc>
          <w:tcPr>
            <w:tcW w:w="5678"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Colour profile appropriate to the task is identified and set up in industry-recognised software.</w:t>
            </w:r>
          </w:p>
        </w:tc>
      </w:tr>
      <w:tr w:rsidTr="002E0D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1.5</w:t>
            </w:r>
          </w:p>
        </w:tc>
        <w:tc>
          <w:tcPr>
            <w:tcW w:w="5678" w:type="dxa"/>
            <w:tcBorders>
              <w:top w:val="nil"/>
              <w:left w:val="nil"/>
              <w:bottom w:val="nil"/>
              <w:right w:val="nil"/>
            </w:tcBorders>
            <w:tcMar>
              <w:top w:w="0" w:type="dxa"/>
              <w:left w:w="62" w:type="dxa"/>
              <w:bottom w:w="0" w:type="dxa"/>
              <w:right w:w="62" w:type="dxa"/>
            </w:tcMar>
          </w:tcPr>
          <w:p w:rsidR="00000000" w:rsidRPr="002E0DB2" w:rsidP="002E0DB2">
            <w:pPr>
              <w:pStyle w:val="BodyText"/>
            </w:pPr>
            <w:r w:rsidRPr="002E0DB2">
              <w:t xml:space="preserve">Digital image is imported into software and converted to correct </w:t>
            </w:r>
            <w:r w:rsidRPr="002E0DB2">
              <w:t>colour profile as necessary.</w:t>
            </w:r>
          </w:p>
        </w:tc>
      </w:tr>
    </w:tbl>
    <w:p w:rsidR="00000000" w:rsidRPr="002E0DB2" w:rsidP="002E0DB2">
      <w:pPr>
        <w:pStyle w:val="BodyText"/>
      </w:pPr>
    </w:p>
    <w:tbl>
      <w:tblPr>
        <w:tblW w:w="0" w:type="auto"/>
        <w:tblLayout w:type="fixed"/>
        <w:tblCellMar>
          <w:left w:w="62" w:type="dxa"/>
          <w:right w:w="62" w:type="dxa"/>
        </w:tblCellMar>
        <w:tblLook w:val="0000"/>
      </w:tblPr>
      <w:tblGrid>
        <w:gridCol w:w="678"/>
        <w:gridCol w:w="1962"/>
        <w:gridCol w:w="770"/>
        <w:gridCol w:w="5610"/>
      </w:tblGrid>
      <w:tr w:rsidTr="002E0D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2</w:t>
            </w:r>
          </w:p>
        </w:tc>
        <w:tc>
          <w:tcPr>
            <w:tcW w:w="1962" w:type="dxa"/>
            <w:vMerge w:val="restart"/>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Apply and modify colour.</w:t>
            </w:r>
          </w:p>
        </w:tc>
        <w:tc>
          <w:tcPr>
            <w:tcW w:w="77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2.1</w:t>
            </w:r>
          </w:p>
        </w:tc>
        <w:tc>
          <w:tcPr>
            <w:tcW w:w="56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Colour legibility is assessed against job requirements, and levels of contrast are adjusted and applied to sign design.</w:t>
            </w:r>
          </w:p>
        </w:tc>
      </w:tr>
      <w:tr w:rsidTr="002E0D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2.2</w:t>
            </w:r>
          </w:p>
        </w:tc>
        <w:tc>
          <w:tcPr>
            <w:tcW w:w="56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Colour scheme is determined and principles of colour harmony are applied to sign according to client requirements.</w:t>
            </w:r>
          </w:p>
        </w:tc>
      </w:tr>
      <w:tr w:rsidTr="002E0D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2.3</w:t>
            </w:r>
          </w:p>
        </w:tc>
        <w:tc>
          <w:tcPr>
            <w:tcW w:w="56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Test prints are produced and checked against job requirements.</w:t>
            </w:r>
          </w:p>
        </w:tc>
      </w:tr>
      <w:tr w:rsidTr="002E0D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2.4</w:t>
            </w:r>
          </w:p>
        </w:tc>
        <w:tc>
          <w:tcPr>
            <w:tcW w:w="5610" w:type="dxa"/>
            <w:tcBorders>
              <w:top w:val="nil"/>
              <w:left w:val="nil"/>
              <w:bottom w:val="nil"/>
              <w:right w:val="nil"/>
            </w:tcBorders>
            <w:tcMar>
              <w:top w:w="0" w:type="dxa"/>
              <w:left w:w="62" w:type="dxa"/>
              <w:bottom w:w="0" w:type="dxa"/>
              <w:right w:w="62" w:type="dxa"/>
            </w:tcMar>
          </w:tcPr>
          <w:p w:rsidR="00000000" w:rsidRPr="002E0DB2" w:rsidP="002E0DB2">
            <w:pPr>
              <w:pStyle w:val="BodyText"/>
            </w:pPr>
            <w:r w:rsidRPr="002E0DB2">
              <w:t>Sign is colour corrected as required using software tools to ensure consistent application of colour.</w:t>
            </w:r>
          </w:p>
        </w:tc>
      </w:tr>
    </w:tbl>
    <w:p w:rsidR="00000000" w:rsidRPr="002E0DB2" w:rsidP="002E0DB2">
      <w:pPr>
        <w:pStyle w:val="BodyText"/>
      </w:pPr>
    </w:p>
    <w:tbl>
      <w:tblPr>
        <w:tblW w:w="0" w:type="auto"/>
        <w:tblLayout w:type="fixed"/>
        <w:tblCellMar>
          <w:left w:w="62" w:type="dxa"/>
          <w:right w:w="62" w:type="dxa"/>
        </w:tblCellMar>
        <w:tblLook w:val="0000"/>
      </w:tblPr>
      <w:tblGrid>
        <w:gridCol w:w="678"/>
        <w:gridCol w:w="1962"/>
        <w:gridCol w:w="770"/>
        <w:gridCol w:w="5610"/>
      </w:tblGrid>
      <w:tr w:rsidTr="002E0D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3</w:t>
            </w:r>
          </w:p>
        </w:tc>
        <w:tc>
          <w:tcPr>
            <w:tcW w:w="1962" w:type="dxa"/>
            <w:vMerge w:val="restart"/>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Maintain colour management systems.</w:t>
            </w:r>
          </w:p>
        </w:tc>
        <w:tc>
          <w:tcPr>
            <w:tcW w:w="77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3.1</w:t>
            </w:r>
          </w:p>
        </w:tc>
        <w:tc>
          <w:tcPr>
            <w:tcW w:w="56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Colour management systems are routinely checked for accuracy and updated when necessary.</w:t>
            </w:r>
          </w:p>
        </w:tc>
      </w:tr>
      <w:tr w:rsidTr="002E0D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3.2</w:t>
            </w:r>
          </w:p>
        </w:tc>
        <w:tc>
          <w:tcPr>
            <w:tcW w:w="5610" w:type="dxa"/>
            <w:tcBorders>
              <w:top w:val="nil"/>
              <w:left w:val="nil"/>
              <w:bottom w:val="nil"/>
              <w:right w:val="nil"/>
            </w:tcBorders>
            <w:tcMar>
              <w:top w:w="0" w:type="dxa"/>
              <w:left w:w="62" w:type="dxa"/>
              <w:bottom w:w="0" w:type="dxa"/>
              <w:right w:w="62" w:type="dxa"/>
            </w:tcMar>
          </w:tcPr>
          <w:p w:rsidR="00000000" w:rsidRPr="002E0DB2" w:rsidP="002E0DB2">
            <w:pPr>
              <w:pStyle w:val="BodyText"/>
            </w:pPr>
            <w:r w:rsidRPr="002E0DB2">
              <w:t>Digital device</w:t>
            </w:r>
            <w:r w:rsidRPr="002E0DB2">
              <w:t>s used in sign production are routinely checked and recalibrated when necessary.</w:t>
            </w:r>
          </w:p>
        </w:tc>
      </w:tr>
    </w:tbl>
    <w:p w:rsidR="00000000" w:rsidRPr="002E0DB2" w:rsidP="002E0DB2">
      <w:pPr>
        <w:pStyle w:val="BodyText"/>
      </w:pPr>
    </w:p>
    <w:p w:rsidR="00000000" w:rsidRPr="002E0DB2" w:rsidP="002E0DB2">
      <w:pPr>
        <w:pStyle w:val="AllowPageBreak"/>
      </w:pPr>
    </w:p>
    <w:p w:rsidR="00000000" w:rsidRPr="002E0DB2" w:rsidP="002E0DB2">
      <w:pPr>
        <w:pStyle w:val="Heading1"/>
      </w:pPr>
      <w:bookmarkStart w:id="7" w:name="O_832065"/>
      <w:bookmarkEnd w:id="7"/>
      <w:r w:rsidRPr="002E0DB2">
        <w:t>Foundation Skills</w:t>
      </w:r>
    </w:p>
    <w:tbl>
      <w:tblPr>
        <w:tblW w:w="0" w:type="auto"/>
        <w:tblLayout w:type="fixed"/>
        <w:tblCellMar>
          <w:left w:w="62" w:type="dxa"/>
          <w:right w:w="62" w:type="dxa"/>
        </w:tblCellMar>
        <w:tblLook w:val="0000"/>
      </w:tblPr>
      <w:tblGrid>
        <w:gridCol w:w="2210"/>
        <w:gridCol w:w="6742"/>
      </w:tblGrid>
      <w:tr w:rsidTr="002E0DB2">
        <w:tblPrEx>
          <w:tblW w:w="0" w:type="auto"/>
          <w:tblLayout w:type="fixed"/>
          <w:tblCellMar>
            <w:left w:w="62" w:type="dxa"/>
            <w:right w:w="62" w:type="dxa"/>
          </w:tblCellMar>
          <w:tblLook w:val="0000"/>
        </w:tblPrEx>
        <w:trPr>
          <w:tblHeader/>
        </w:trPr>
        <w:tc>
          <w:tcPr>
            <w:tcW w:w="8952" w:type="dxa"/>
            <w:gridSpan w:val="2"/>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This section describes the language, literacy, numeracy and employment skills essential to performance in this unit but not explicit in the performance criteria.</w:t>
            </w:r>
          </w:p>
        </w:tc>
      </w:tr>
      <w:tr w:rsidTr="002E0DB2">
        <w:tblPrEx>
          <w:tblW w:w="0" w:type="auto"/>
          <w:tblLayout w:type="fixed"/>
          <w:tblCellMar>
            <w:left w:w="62" w:type="dxa"/>
            <w:right w:w="62" w:type="dxa"/>
          </w:tblCellMar>
          <w:tblLook w:val="0000"/>
        </w:tblPrEx>
        <w:trPr>
          <w:tblHeader/>
        </w:trPr>
        <w:tc>
          <w:tcPr>
            <w:tcW w:w="2210" w:type="dxa"/>
            <w:tcBorders>
              <w:top w:val="nil"/>
              <w:left w:val="nil"/>
              <w:bottom w:val="nil"/>
              <w:right w:val="nil"/>
            </w:tcBorders>
            <w:tcMar>
              <w:top w:w="0" w:type="dxa"/>
              <w:left w:w="62" w:type="dxa"/>
              <w:bottom w:w="0" w:type="dxa"/>
              <w:right w:w="62" w:type="dxa"/>
            </w:tcMar>
          </w:tcPr>
          <w:p w:rsidR="00000000" w:rsidRPr="002E0DB2" w:rsidP="002E0DB2">
            <w:pPr>
              <w:pStyle w:val="BodyText"/>
            </w:pPr>
            <w:r w:rsidRPr="002E0DB2">
              <w:rPr>
                <w:rStyle w:val="SpecialBold"/>
              </w:rPr>
              <w:t>Skill</w:t>
            </w:r>
          </w:p>
        </w:tc>
        <w:tc>
          <w:tcPr>
            <w:tcW w:w="6742"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rPr>
                <w:rStyle w:val="SpecialBold"/>
              </w:rPr>
              <w:t>Performance feature</w:t>
            </w:r>
          </w:p>
        </w:tc>
      </w:tr>
      <w:tr w:rsidTr="002E0DB2">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Learning skills to:</w:t>
            </w:r>
          </w:p>
        </w:tc>
        <w:tc>
          <w:tcPr>
            <w:tcW w:w="6742" w:type="dxa"/>
            <w:tcBorders>
              <w:top w:val="nil"/>
              <w:left w:val="nil"/>
              <w:bottom w:val="nil"/>
              <w:right w:val="nil"/>
            </w:tcBorders>
            <w:tcMar>
              <w:top w:w="0" w:type="dxa"/>
              <w:left w:w="62" w:type="dxa"/>
              <w:bottom w:w="0" w:type="dxa"/>
              <w:right w:w="62" w:type="dxa"/>
            </w:tcMar>
          </w:tcPr>
          <w:p w:rsidR="00000000" w:rsidRPr="002E0DB2" w:rsidP="002E0DB2">
            <w:pPr>
              <w:pStyle w:val="ListBullet"/>
            </w:pPr>
            <w:r w:rsidRPr="002E0DB2">
              <w:t>consider and respond to feedback relating to achievement of client requirements and colour consistency in signs.</w:t>
            </w:r>
          </w:p>
          <w:p w:rsidR="00000000" w:rsidP="002E0DB2">
            <w:pPr>
              <w:pStyle w:val="BodyText"/>
              <w:rPr>
                <w:lang w:val="en-NZ"/>
              </w:rPr>
            </w:pPr>
          </w:p>
        </w:tc>
      </w:tr>
      <w:tr w:rsidTr="002E0DB2">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Numeracy skills to:</w:t>
            </w:r>
          </w:p>
        </w:tc>
        <w:tc>
          <w:tcPr>
            <w:tcW w:w="6742" w:type="dxa"/>
            <w:tcBorders>
              <w:top w:val="nil"/>
              <w:left w:val="nil"/>
              <w:bottom w:val="nil"/>
              <w:right w:val="nil"/>
            </w:tcBorders>
            <w:tcMar>
              <w:top w:w="0" w:type="dxa"/>
              <w:left w:w="62" w:type="dxa"/>
              <w:bottom w:w="0" w:type="dxa"/>
              <w:right w:w="62" w:type="dxa"/>
            </w:tcMar>
          </w:tcPr>
          <w:p w:rsidR="00000000" w:rsidRPr="002E0DB2" w:rsidP="002E0DB2">
            <w:pPr>
              <w:pStyle w:val="ListBullet"/>
            </w:pPr>
            <w:r w:rsidRPr="002E0DB2">
              <w:t>recognise differences in and apply numerical values of colour to digital images.</w:t>
            </w:r>
          </w:p>
          <w:p w:rsidR="00000000" w:rsidP="002E0DB2">
            <w:pPr>
              <w:pStyle w:val="BodyText"/>
              <w:rPr>
                <w:lang w:val="en-NZ"/>
              </w:rPr>
            </w:pPr>
          </w:p>
        </w:tc>
      </w:tr>
      <w:tr w:rsidTr="002E0DB2">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Oral communication skills to:</w:t>
            </w:r>
          </w:p>
        </w:tc>
        <w:tc>
          <w:tcPr>
            <w:tcW w:w="6742" w:type="dxa"/>
            <w:tcBorders>
              <w:top w:val="nil"/>
              <w:left w:val="nil"/>
              <w:bottom w:val="nil"/>
              <w:right w:val="nil"/>
            </w:tcBorders>
            <w:tcMar>
              <w:top w:w="0" w:type="dxa"/>
              <w:left w:w="62" w:type="dxa"/>
              <w:bottom w:w="0" w:type="dxa"/>
              <w:right w:w="62" w:type="dxa"/>
            </w:tcMar>
          </w:tcPr>
          <w:p w:rsidR="00000000" w:rsidRPr="002E0DB2" w:rsidP="002E0DB2">
            <w:pPr>
              <w:pStyle w:val="ListBullet"/>
            </w:pPr>
            <w:r w:rsidRPr="002E0DB2">
              <w:t>confirm job requirements and liaise with others on colour matching processes and results.</w:t>
            </w:r>
          </w:p>
          <w:p w:rsidR="00000000" w:rsidP="002E0DB2">
            <w:pPr>
              <w:pStyle w:val="BodyText"/>
              <w:rPr>
                <w:lang w:val="en-NZ"/>
              </w:rPr>
            </w:pPr>
          </w:p>
        </w:tc>
      </w:tr>
      <w:tr w:rsidTr="002E0DB2">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Writing skills to:</w:t>
            </w:r>
          </w:p>
        </w:tc>
        <w:tc>
          <w:tcPr>
            <w:tcW w:w="6742" w:type="dxa"/>
            <w:tcBorders>
              <w:top w:val="nil"/>
              <w:left w:val="nil"/>
              <w:bottom w:val="nil"/>
              <w:right w:val="nil"/>
            </w:tcBorders>
            <w:tcMar>
              <w:top w:w="0" w:type="dxa"/>
              <w:left w:w="62" w:type="dxa"/>
              <w:bottom w:w="0" w:type="dxa"/>
              <w:right w:w="62" w:type="dxa"/>
            </w:tcMar>
          </w:tcPr>
          <w:p w:rsidR="00000000" w:rsidRPr="002E0DB2" w:rsidP="002E0DB2">
            <w:pPr>
              <w:pStyle w:val="ListBullet"/>
            </w:pPr>
            <w:r w:rsidRPr="002E0DB2">
              <w:t>report faults in software or output devices to relevant personnel using appropriate documentation and industry-recognised terminology.</w:t>
            </w:r>
          </w:p>
          <w:p w:rsidR="00000000" w:rsidRPr="002E0DB2" w:rsidP="002E0DB2">
            <w:pPr>
              <w:pStyle w:val="BodyText"/>
            </w:pPr>
          </w:p>
        </w:tc>
      </w:tr>
    </w:tbl>
    <w:p w:rsidR="00000000" w:rsidRPr="002E0DB2" w:rsidP="002E0DB2">
      <w:pPr>
        <w:pStyle w:val="BodyText"/>
      </w:pPr>
    </w:p>
    <w:p w:rsidR="00000000" w:rsidRPr="002E0DB2" w:rsidP="002E0DB2">
      <w:pPr>
        <w:pStyle w:val="AllowPageBreak"/>
      </w:pPr>
    </w:p>
    <w:p w:rsidR="00000000" w:rsidRPr="002E0DB2" w:rsidP="002E0DB2">
      <w:pPr>
        <w:pStyle w:val="Heading1"/>
      </w:pPr>
      <w:bookmarkStart w:id="8" w:name="O_832064"/>
      <w:bookmarkEnd w:id="8"/>
      <w:r w:rsidRPr="002E0DB2">
        <w:t>Range of Conditions</w:t>
      </w:r>
    </w:p>
    <w:tbl>
      <w:tblPr>
        <w:tblW w:w="0" w:type="auto"/>
        <w:tblLayout w:type="fixed"/>
        <w:tblCellMar>
          <w:left w:w="62" w:type="dxa"/>
          <w:right w:w="62" w:type="dxa"/>
        </w:tblCellMar>
        <w:tblLook w:val="0000"/>
      </w:tblPr>
      <w:tblGrid>
        <w:gridCol w:w="2240"/>
        <w:gridCol w:w="6722"/>
      </w:tblGrid>
      <w:tr w:rsidTr="002E0DB2">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t xml:space="preserve">This section specifies work environments and conditions that may affect performance. Essential operating conditions that may be present (depending on the work situation, needs of the candidate, accessibility of the item, and </w:t>
            </w:r>
            <w:r w:rsidRPr="002E0DB2">
              <w:t>local industry and regional contexts) are included. Bold italicised wording, if used in the performance criteria, is detailed below.</w:t>
            </w:r>
          </w:p>
        </w:tc>
      </w:tr>
      <w:tr w:rsidTr="002E0DB2">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rPr>
                <w:rStyle w:val="BoldandItalics"/>
              </w:rPr>
              <w:t xml:space="preserve">Job requirements </w:t>
            </w:r>
            <w:r w:rsidRPr="002E0DB2">
              <w:t>must include:</w:t>
            </w:r>
          </w:p>
        </w:tc>
        <w:tc>
          <w:tcPr>
            <w:tcW w:w="6722" w:type="dxa"/>
            <w:tcBorders>
              <w:top w:val="nil"/>
              <w:left w:val="nil"/>
              <w:bottom w:val="nil"/>
              <w:right w:val="nil"/>
            </w:tcBorders>
            <w:tcMar>
              <w:top w:w="0" w:type="dxa"/>
              <w:left w:w="62" w:type="dxa"/>
              <w:bottom w:w="0" w:type="dxa"/>
              <w:right w:w="62" w:type="dxa"/>
            </w:tcMar>
          </w:tcPr>
          <w:p w:rsidR="00000000" w:rsidRPr="002E0DB2" w:rsidP="002E0DB2">
            <w:pPr>
              <w:pStyle w:val="ListBullet"/>
            </w:pPr>
            <w:r w:rsidRPr="002E0DB2">
              <w:t>colour requirements</w:t>
            </w:r>
          </w:p>
          <w:p w:rsidR="00000000" w:rsidRPr="002E0DB2" w:rsidP="002E0DB2">
            <w:pPr>
              <w:pStyle w:val="ListBullet"/>
            </w:pPr>
            <w:r w:rsidRPr="002E0DB2">
              <w:t>dimensions of sign</w:t>
            </w:r>
          </w:p>
          <w:p w:rsidR="00000000" w:rsidRPr="002E0DB2" w:rsidP="002E0DB2">
            <w:pPr>
              <w:pStyle w:val="ListBullet"/>
            </w:pPr>
            <w:r w:rsidRPr="002E0DB2">
              <w:t>required materials</w:t>
            </w:r>
          </w:p>
          <w:p w:rsidR="00000000" w:rsidRPr="002E0DB2" w:rsidP="002E0DB2">
            <w:pPr>
              <w:pStyle w:val="ListBullet"/>
            </w:pPr>
            <w:r w:rsidRPr="002E0DB2">
              <w:t>type of sign.</w:t>
            </w:r>
          </w:p>
          <w:p w:rsidR="00000000" w:rsidP="002E0DB2">
            <w:pPr>
              <w:pStyle w:val="BodyText"/>
              <w:rPr>
                <w:lang w:val="en-NZ"/>
              </w:rPr>
            </w:pPr>
          </w:p>
        </w:tc>
      </w:tr>
      <w:tr w:rsidTr="002E0DB2">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2E0DB2">
            <w:pPr>
              <w:pStyle w:val="BodyText"/>
              <w:rPr>
                <w:lang w:val="en-NZ"/>
              </w:rPr>
            </w:pPr>
            <w:r w:rsidRPr="002E0DB2">
              <w:rPr>
                <w:rStyle w:val="BoldandItalics"/>
              </w:rPr>
              <w:t xml:space="preserve">Digital devices </w:t>
            </w:r>
            <w:r w:rsidRPr="002E0DB2">
              <w:t>must include:</w:t>
            </w:r>
          </w:p>
        </w:tc>
        <w:tc>
          <w:tcPr>
            <w:tcW w:w="6722" w:type="dxa"/>
            <w:tcBorders>
              <w:top w:val="nil"/>
              <w:left w:val="nil"/>
              <w:bottom w:val="nil"/>
              <w:right w:val="nil"/>
            </w:tcBorders>
            <w:tcMar>
              <w:top w:w="0" w:type="dxa"/>
              <w:left w:w="62" w:type="dxa"/>
              <w:bottom w:w="0" w:type="dxa"/>
              <w:right w:w="62" w:type="dxa"/>
            </w:tcMar>
          </w:tcPr>
          <w:p w:rsidR="00000000" w:rsidRPr="002E0DB2" w:rsidP="002E0DB2">
            <w:pPr>
              <w:pStyle w:val="ListBullet"/>
            </w:pPr>
            <w:r w:rsidRPr="002E0DB2">
              <w:t>computer monitor</w:t>
            </w:r>
          </w:p>
          <w:p w:rsidR="00000000" w:rsidRPr="002E0DB2" w:rsidP="002E0DB2">
            <w:pPr>
              <w:pStyle w:val="ListBullet"/>
            </w:pPr>
            <w:r w:rsidRPr="002E0DB2">
              <w:t>printer</w:t>
            </w:r>
          </w:p>
          <w:p w:rsidR="00000000" w:rsidRPr="002E0DB2" w:rsidP="002E0DB2">
            <w:pPr>
              <w:pStyle w:val="ListBullet"/>
            </w:pPr>
            <w:r w:rsidRPr="002E0DB2">
              <w:t>scanner.</w:t>
            </w:r>
          </w:p>
          <w:p w:rsidR="00000000" w:rsidRPr="002E0DB2" w:rsidP="002E0DB2">
            <w:pPr>
              <w:pStyle w:val="BodyText"/>
            </w:pPr>
          </w:p>
        </w:tc>
      </w:tr>
    </w:tbl>
    <w:p w:rsidR="00000000" w:rsidRPr="002E0DB2" w:rsidP="002E0DB2">
      <w:pPr>
        <w:pStyle w:val="BodyText"/>
      </w:pPr>
    </w:p>
    <w:p w:rsidR="00000000" w:rsidRPr="002E0DB2" w:rsidP="002E0DB2">
      <w:pPr>
        <w:pStyle w:val="AllowPageBreak"/>
      </w:pPr>
    </w:p>
    <w:p w:rsidR="00000000" w:rsidRPr="002E0DB2" w:rsidP="002E0DB2">
      <w:pPr>
        <w:pStyle w:val="Heading1"/>
      </w:pPr>
      <w:bookmarkStart w:id="9" w:name="O_832063"/>
      <w:bookmarkEnd w:id="9"/>
      <w:r w:rsidRPr="002E0DB2">
        <w:t>Unit Mapping Information</w:t>
      </w:r>
    </w:p>
    <w:p w:rsidR="00000000" w:rsidRPr="002E0DB2" w:rsidP="00822CF9">
      <w:pPr>
        <w:pStyle w:val="BodyText"/>
      </w:pPr>
      <w:r w:rsidRPr="002E0DB2">
        <w:t>No equivalent unit.</w:t>
      </w:r>
    </w:p>
    <w:p w:rsidR="00000000" w:rsidRPr="002E0DB2" w:rsidP="002E0DB2">
      <w:pPr>
        <w:pStyle w:val="Heading1"/>
      </w:pPr>
      <w:bookmarkStart w:id="10" w:name="O_832056"/>
      <w:bookmarkEnd w:id="10"/>
      <w:r w:rsidRPr="002E0DB2">
        <w:t>Links</w:t>
      </w:r>
    </w:p>
    <w:p w:rsidR="00000000" w:rsidRPr="002E0DB2" w:rsidP="00822CF9">
      <w:pPr>
        <w:pStyle w:val="BodyText"/>
      </w:pPr>
      <w:r w:rsidRPr="002E0DB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71E43">
        <w:rPr>
          <w:rStyle w:val="Hyperlink"/>
        </w:rPr>
        <w:t>https://vetnet.gov.au/Pages/TrainingDocs.aspx?q=7e15fa6a-68b8-4097-b099-030a5569b1ad</w:t>
      </w:r>
      <w:r>
        <w:fldChar w:fldCharType="end"/>
      </w:r>
    </w:p>
    <w:p w:rsidR="00000000" w:rsidRPr="002E0DB2" w:rsidP="00822CF9">
      <w:pPr>
        <w:pStyle w:val="BodyText"/>
        <w:sectPr w:rsidSect="002E0DB2">
          <w:headerReference w:type="default" r:id="rId10"/>
          <w:footerReference w:type="default" r:id="rId11"/>
          <w:pgSz w:w="11908" w:h="16833"/>
          <w:pgMar w:top="1702" w:right="1418" w:bottom="1702" w:left="1418" w:header="992" w:footer="992" w:gutter="0"/>
          <w:cols w:space="720"/>
          <w:noEndnote/>
          <w:docGrid w:linePitch="299"/>
        </w:sectPr>
      </w:pPr>
    </w:p>
    <w:p w:rsidR="00000000" w:rsidRPr="002E0DB2" w:rsidP="002E0DB2">
      <w:pPr>
        <w:pStyle w:val="SuperHeading"/>
      </w:pPr>
      <w:r w:rsidRPr="002E0DB2">
        <w:t>Assessment Requirements for CPCCSG3003 Colour manage signs</w:t>
      </w:r>
    </w:p>
    <w:p w:rsidR="00000000" w:rsidRPr="002E0DB2" w:rsidP="002E0DB2">
      <w:pPr>
        <w:pStyle w:val="Heading1"/>
      </w:pPr>
      <w:bookmarkStart w:id="11" w:name="O_832058"/>
      <w:bookmarkEnd w:id="11"/>
      <w:r w:rsidRPr="002E0DB2">
        <w:t>Modification History</w:t>
      </w:r>
    </w:p>
    <w:p w:rsidR="00000000" w:rsidRPr="002E0DB2" w:rsidP="00822CF9">
      <w:pPr>
        <w:pStyle w:val="BodyText"/>
      </w:pPr>
      <w:r w:rsidRPr="002E0DB2">
        <w:t>Release 1.</w:t>
      </w:r>
    </w:p>
    <w:p w:rsidR="00000000" w:rsidRPr="002E0DB2" w:rsidP="00822CF9">
      <w:pPr>
        <w:pStyle w:val="BodyText"/>
      </w:pPr>
      <w:r w:rsidRPr="002E0DB2">
        <w:t>This version first released with CPC Construction, Plumbing and Services Training Package Version 2.</w:t>
      </w:r>
    </w:p>
    <w:p w:rsidR="00000000" w:rsidRPr="002E0DB2" w:rsidP="00822CF9">
      <w:pPr>
        <w:pStyle w:val="BodyText"/>
      </w:pPr>
      <w:r w:rsidRPr="002E0DB2">
        <w:t>Revised unit of competency. Replaces superseded non-equivalent CPCCSI2001A Use colour for signage.</w:t>
      </w:r>
    </w:p>
    <w:p w:rsidR="00000000" w:rsidRPr="002E0DB2" w:rsidP="002E0DB2">
      <w:pPr>
        <w:pStyle w:val="Heading1"/>
      </w:pPr>
      <w:bookmarkStart w:id="12" w:name="O_832061"/>
      <w:bookmarkEnd w:id="12"/>
      <w:r w:rsidRPr="002E0DB2">
        <w:t>Performance Evidence</w:t>
      </w:r>
    </w:p>
    <w:p w:rsidR="00000000" w:rsidRPr="002E0DB2" w:rsidP="00822CF9">
      <w:pPr>
        <w:pStyle w:val="BodyText"/>
      </w:pPr>
      <w:r w:rsidRPr="002E0DB2">
        <w:t>A person who demonstrates competency in this unit must satisfy all of the elements, performance criteria and foundation skills of this unit, and must accurately colour match three different digital signs using each of the fo</w:t>
      </w:r>
      <w:r w:rsidRPr="002E0DB2">
        <w:t>llowing devices in the process:</w:t>
      </w:r>
    </w:p>
    <w:p w:rsidR="00000000" w:rsidRPr="002E0DB2" w:rsidP="002E0DB2">
      <w:pPr>
        <w:pStyle w:val="ListBullet"/>
      </w:pPr>
      <w:r w:rsidRPr="002E0DB2">
        <w:t>computer monitor</w:t>
      </w:r>
    </w:p>
    <w:p w:rsidR="00000000" w:rsidRPr="002E0DB2" w:rsidP="002E0DB2">
      <w:pPr>
        <w:pStyle w:val="ListBullet"/>
      </w:pPr>
      <w:r w:rsidRPr="002E0DB2">
        <w:t>digital press</w:t>
      </w:r>
    </w:p>
    <w:p w:rsidR="00000000" w:rsidRPr="002E0DB2" w:rsidP="002E0DB2">
      <w:pPr>
        <w:pStyle w:val="ListBullet"/>
      </w:pPr>
      <w:r w:rsidRPr="002E0DB2">
        <w:t>printer</w:t>
      </w:r>
    </w:p>
    <w:p w:rsidR="00000000" w:rsidRPr="002E0DB2" w:rsidP="002E0DB2">
      <w:pPr>
        <w:pStyle w:val="ListBullet"/>
      </w:pPr>
      <w:r w:rsidRPr="002E0DB2">
        <w:t>proofer</w:t>
      </w:r>
    </w:p>
    <w:p w:rsidR="00000000" w:rsidRPr="002E0DB2" w:rsidP="002E0DB2">
      <w:pPr>
        <w:pStyle w:val="ListBullet"/>
      </w:pPr>
      <w:r w:rsidRPr="002E0DB2">
        <w:t>scanner.</w:t>
      </w:r>
    </w:p>
    <w:p w:rsidR="00000000" w:rsidRPr="002E0DB2" w:rsidP="002E0DB2">
      <w:pPr>
        <w:pStyle w:val="BodyText"/>
      </w:pPr>
    </w:p>
    <w:p w:rsidR="00000000" w:rsidRPr="002E0DB2" w:rsidP="00822CF9">
      <w:pPr>
        <w:pStyle w:val="BodyText"/>
      </w:pPr>
      <w:r w:rsidRPr="002E0DB2">
        <w:t xml:space="preserve">A different colour matching system should be used on each of the three signs, selected from: </w:t>
      </w:r>
    </w:p>
    <w:p w:rsidR="00000000" w:rsidRPr="002E0DB2" w:rsidP="002E0DB2">
      <w:pPr>
        <w:pStyle w:val="ListBullet"/>
      </w:pPr>
      <w:r w:rsidRPr="002E0DB2">
        <w:t>cyan, magenta, yellow and black (CMYK)</w:t>
      </w:r>
    </w:p>
    <w:p w:rsidR="00000000" w:rsidRPr="002E0DB2" w:rsidP="002E0DB2">
      <w:pPr>
        <w:pStyle w:val="ListBullet"/>
      </w:pPr>
      <w:r w:rsidRPr="002E0DB2">
        <w:t>pantone matching system (PMS)</w:t>
      </w:r>
    </w:p>
    <w:p w:rsidR="00000000" w:rsidRPr="002E0DB2" w:rsidP="002E0DB2">
      <w:pPr>
        <w:pStyle w:val="ListBullet"/>
      </w:pPr>
      <w:r w:rsidRPr="002E0DB2">
        <w:t>red, green and blue (RGB).</w:t>
      </w:r>
    </w:p>
    <w:p w:rsidR="00000000" w:rsidRPr="002E0DB2" w:rsidP="002E0DB2">
      <w:pPr>
        <w:pStyle w:val="BodyText"/>
      </w:pPr>
    </w:p>
    <w:p w:rsidR="00000000" w:rsidRPr="002E0DB2" w:rsidP="00822CF9">
      <w:pPr>
        <w:pStyle w:val="BodyText"/>
      </w:pPr>
      <w:r w:rsidRPr="002E0DB2">
        <w:t>In doing the above work, the person must:</w:t>
      </w:r>
    </w:p>
    <w:p w:rsidR="00000000" w:rsidRPr="002E0DB2" w:rsidP="002E0DB2">
      <w:pPr>
        <w:pStyle w:val="ListBullet"/>
      </w:pPr>
      <w:r w:rsidRPr="002E0DB2">
        <w:t xml:space="preserve">accurately calibrate devices to be used in sign production workflow </w:t>
      </w:r>
    </w:p>
    <w:p w:rsidR="00000000" w:rsidRPr="002E0DB2" w:rsidP="002E0DB2">
      <w:pPr>
        <w:pStyle w:val="ListBullet"/>
      </w:pPr>
      <w:r w:rsidRPr="002E0DB2">
        <w:t>apply a colour matching system according to job requirements</w:t>
      </w:r>
    </w:p>
    <w:p w:rsidR="00000000" w:rsidRPr="002E0DB2" w:rsidP="002E0DB2">
      <w:pPr>
        <w:pStyle w:val="ListBullet"/>
      </w:pPr>
      <w:r w:rsidRPr="002E0DB2">
        <w:t>adjust colour and contrast to ensure legibility as appr</w:t>
      </w:r>
      <w:r w:rsidRPr="002E0DB2">
        <w:t>opriate to the task</w:t>
      </w:r>
    </w:p>
    <w:p w:rsidR="00000000" w:rsidRPr="002E0DB2" w:rsidP="002E0DB2">
      <w:pPr>
        <w:pStyle w:val="ListBullet"/>
      </w:pPr>
      <w:r w:rsidRPr="002E0DB2">
        <w:t>check and confirm colour consistency is achieved across each output device and rectify any fault in colour matching.</w:t>
      </w:r>
    </w:p>
    <w:p w:rsidR="00000000" w:rsidRPr="002E0DB2" w:rsidP="002E0DB2">
      <w:pPr>
        <w:pStyle w:val="BodyText"/>
      </w:pPr>
    </w:p>
    <w:p w:rsidR="00000000" w:rsidRPr="002E0DB2" w:rsidP="00822CF9">
      <w:pPr>
        <w:pStyle w:val="BodyText"/>
      </w:pPr>
      <w:r w:rsidRPr="002E0DB2">
        <w:t xml:space="preserve">The person must then select three different colours from one of the digital signs and produce a colour match in paint </w:t>
      </w:r>
      <w:r w:rsidRPr="002E0DB2">
        <w:t>for each colour.</w:t>
      </w:r>
    </w:p>
    <w:p w:rsidR="00000000" w:rsidRPr="002E0DB2" w:rsidP="002E0DB2">
      <w:pPr>
        <w:pStyle w:val="Heading1"/>
      </w:pPr>
      <w:bookmarkStart w:id="13" w:name="O_832060"/>
      <w:bookmarkEnd w:id="13"/>
      <w:r w:rsidRPr="002E0DB2">
        <w:t>Knowledge Evidence</w:t>
      </w:r>
    </w:p>
    <w:p w:rsidR="00000000" w:rsidRPr="002E0DB2" w:rsidP="00822CF9">
      <w:pPr>
        <w:pStyle w:val="BodyText"/>
      </w:pPr>
      <w:r w:rsidRPr="002E0DB2">
        <w:t>A person demonstrating competency in this unit must demonstrate knowledge of:</w:t>
      </w:r>
    </w:p>
    <w:p w:rsidR="00000000" w:rsidRPr="002E0DB2" w:rsidP="002E0DB2">
      <w:pPr>
        <w:pStyle w:val="ListBullet"/>
      </w:pPr>
      <w:r w:rsidRPr="002E0DB2">
        <w:t>uses, applications and limitations of a range of colour matching systems used in the manufacture of signs, including:</w:t>
      </w:r>
    </w:p>
    <w:p w:rsidR="00000000" w:rsidRPr="002E0DB2" w:rsidP="002E0DB2">
      <w:pPr>
        <w:pStyle w:val="ListBullet2"/>
      </w:pPr>
      <w:r w:rsidRPr="002E0DB2">
        <w:t>black</w:t>
      </w:r>
      <w:r w:rsidRPr="002E0DB2">
        <w:t xml:space="preserve"> and white</w:t>
      </w:r>
    </w:p>
    <w:p w:rsidR="00000000" w:rsidRPr="002E0DB2" w:rsidP="002E0DB2">
      <w:pPr>
        <w:pStyle w:val="ListBullet2"/>
      </w:pPr>
      <w:r w:rsidRPr="002E0DB2">
        <w:t>CMYK</w:t>
      </w:r>
    </w:p>
    <w:p w:rsidR="00000000" w:rsidRPr="002E0DB2" w:rsidP="002E0DB2">
      <w:pPr>
        <w:pStyle w:val="ListBullet2"/>
      </w:pPr>
      <w:r w:rsidRPr="002E0DB2">
        <w:t>grey scale</w:t>
      </w:r>
    </w:p>
    <w:p w:rsidR="00000000" w:rsidRPr="002E0DB2" w:rsidP="002E0DB2">
      <w:pPr>
        <w:pStyle w:val="ListBullet2"/>
      </w:pPr>
      <w:r w:rsidRPr="002E0DB2">
        <w:t>PMS</w:t>
      </w:r>
    </w:p>
    <w:p w:rsidR="00000000" w:rsidRPr="002E0DB2" w:rsidP="002E0DB2">
      <w:pPr>
        <w:pStyle w:val="ListBullet2"/>
      </w:pPr>
      <w:r w:rsidRPr="002E0DB2">
        <w:t>RGB</w:t>
      </w:r>
    </w:p>
    <w:p w:rsidR="00000000" w:rsidRPr="002E0DB2" w:rsidP="002E0DB2">
      <w:pPr>
        <w:pStyle w:val="ListBullet"/>
      </w:pPr>
      <w:r w:rsidRPr="002E0DB2">
        <w:t>functionality and limitations of software used to apply and manage colour in the manufacture of signs</w:t>
      </w:r>
    </w:p>
    <w:p w:rsidR="00000000" w:rsidRPr="002E0DB2" w:rsidP="002E0DB2">
      <w:pPr>
        <w:pStyle w:val="ListBullet"/>
      </w:pPr>
      <w:r w:rsidRPr="002E0DB2">
        <w:t>principles of colour legibility and the use of contrast</w:t>
      </w:r>
    </w:p>
    <w:p w:rsidR="00000000" w:rsidRPr="002E0DB2" w:rsidP="002E0DB2">
      <w:pPr>
        <w:pStyle w:val="ListBullet"/>
      </w:pPr>
      <w:r w:rsidRPr="002E0DB2">
        <w:t>principles and application of colour harmony, including:</w:t>
      </w:r>
    </w:p>
    <w:p w:rsidR="00000000" w:rsidRPr="002E0DB2" w:rsidP="002E0DB2">
      <w:pPr>
        <w:pStyle w:val="ListBullet2"/>
      </w:pPr>
      <w:r w:rsidRPr="002E0DB2">
        <w:t>analogous</w:t>
      </w:r>
    </w:p>
    <w:p w:rsidR="00000000" w:rsidRPr="002E0DB2" w:rsidP="002E0DB2">
      <w:pPr>
        <w:pStyle w:val="ListBullet2"/>
      </w:pPr>
      <w:r w:rsidRPr="002E0DB2">
        <w:t xml:space="preserve">complementary </w:t>
      </w:r>
    </w:p>
    <w:p w:rsidR="00000000" w:rsidRPr="002E0DB2" w:rsidP="002E0DB2">
      <w:pPr>
        <w:pStyle w:val="ListBullet2"/>
      </w:pPr>
      <w:r w:rsidRPr="002E0DB2">
        <w:t>monochromatic</w:t>
      </w:r>
    </w:p>
    <w:p w:rsidR="00000000" w:rsidRPr="002E0DB2" w:rsidP="002E0DB2">
      <w:pPr>
        <w:pStyle w:val="ListBullet2"/>
      </w:pPr>
      <w:r w:rsidRPr="002E0DB2">
        <w:t>split complementary</w:t>
      </w:r>
    </w:p>
    <w:p w:rsidR="00000000" w:rsidRPr="002E0DB2" w:rsidP="002E0DB2">
      <w:pPr>
        <w:pStyle w:val="ListBullet"/>
      </w:pPr>
      <w:r w:rsidRPr="002E0DB2">
        <w:t>uses, principles and applications of colour theory in sign manufacture.</w:t>
      </w:r>
    </w:p>
    <w:p w:rsidR="00000000" w:rsidRPr="002E0DB2" w:rsidP="002E0DB2">
      <w:pPr>
        <w:pStyle w:val="AllowPageBreak"/>
      </w:pPr>
    </w:p>
    <w:p w:rsidR="00000000" w:rsidRPr="002E0DB2" w:rsidP="002E0DB2">
      <w:pPr>
        <w:pStyle w:val="Heading1"/>
      </w:pPr>
      <w:bookmarkStart w:id="14" w:name="O_832059"/>
      <w:bookmarkEnd w:id="14"/>
      <w:r w:rsidRPr="002E0DB2">
        <w:t>Assessment Conditions</w:t>
      </w:r>
    </w:p>
    <w:p w:rsidR="00000000" w:rsidRPr="002E0DB2" w:rsidP="00822CF9">
      <w:pPr>
        <w:pStyle w:val="BodyText"/>
      </w:pPr>
      <w:r w:rsidRPr="002E0DB2">
        <w:t>Suitable assessment of performance requires:</w:t>
      </w:r>
    </w:p>
    <w:p w:rsidR="00000000" w:rsidRPr="002E0DB2" w:rsidP="002E0DB2">
      <w:pPr>
        <w:pStyle w:val="ListBullet"/>
      </w:pPr>
      <w:r w:rsidRPr="002E0DB2">
        <w:t>equipment:</w:t>
      </w:r>
    </w:p>
    <w:p w:rsidR="00000000" w:rsidRPr="002E0DB2" w:rsidP="002E0DB2">
      <w:pPr>
        <w:pStyle w:val="ListBullet2"/>
      </w:pPr>
      <w:r w:rsidRPr="002E0DB2">
        <w:t xml:space="preserve">computer with industry-recognised proprietary software appropriate to sign design, including calibration software </w:t>
      </w:r>
    </w:p>
    <w:p w:rsidR="00000000" w:rsidRPr="002E0DB2" w:rsidP="002E0DB2">
      <w:pPr>
        <w:pStyle w:val="ListBullet"/>
      </w:pPr>
      <w:r w:rsidRPr="002E0DB2">
        <w:t>materials:</w:t>
      </w:r>
    </w:p>
    <w:p w:rsidR="00000000" w:rsidRPr="002E0DB2" w:rsidP="002E0DB2">
      <w:pPr>
        <w:pStyle w:val="ListBullet2"/>
      </w:pPr>
      <w:r w:rsidRPr="002E0DB2">
        <w:t>appropriate to the digital output</w:t>
      </w:r>
    </w:p>
    <w:p w:rsidR="00000000" w:rsidRPr="002E0DB2" w:rsidP="002E0DB2">
      <w:pPr>
        <w:pStyle w:val="ListBullet"/>
      </w:pPr>
      <w:r w:rsidRPr="002E0DB2">
        <w:t>contingencies:</w:t>
      </w:r>
    </w:p>
    <w:p w:rsidR="00000000" w:rsidRPr="002E0DB2" w:rsidP="002E0DB2">
      <w:pPr>
        <w:pStyle w:val="ListBullet2"/>
      </w:pPr>
      <w:r w:rsidRPr="002E0DB2">
        <w:t>inconsistent colour reproduction across different output devices</w:t>
      </w:r>
    </w:p>
    <w:p w:rsidR="00000000" w:rsidRPr="002E0DB2" w:rsidP="002E0DB2">
      <w:pPr>
        <w:pStyle w:val="ListBullet2"/>
      </w:pPr>
      <w:r w:rsidRPr="002E0DB2">
        <w:t>recalibratio</w:t>
      </w:r>
      <w:r w:rsidRPr="002E0DB2">
        <w:t>n of digital devices</w:t>
      </w:r>
    </w:p>
    <w:p w:rsidR="00000000" w:rsidRPr="002E0DB2" w:rsidP="002E0DB2">
      <w:pPr>
        <w:pStyle w:val="ListBullet"/>
      </w:pPr>
      <w:r w:rsidRPr="002E0DB2">
        <w:t>specifications:</w:t>
      </w:r>
    </w:p>
    <w:p w:rsidR="00000000" w:rsidRPr="002E0DB2" w:rsidP="002E0DB2">
      <w:pPr>
        <w:pStyle w:val="ListBullet2"/>
      </w:pPr>
      <w:r w:rsidRPr="002E0DB2">
        <w:t xml:space="preserve">client brief detailing job specifications </w:t>
      </w:r>
    </w:p>
    <w:p w:rsidR="00000000" w:rsidRPr="002E0DB2" w:rsidP="002E0DB2">
      <w:pPr>
        <w:pStyle w:val="ListBullet"/>
      </w:pPr>
      <w:r w:rsidRPr="002E0DB2">
        <w:t>relationship with client:</w:t>
      </w:r>
    </w:p>
    <w:p w:rsidR="00000000" w:rsidRPr="002E0DB2" w:rsidP="002E0DB2">
      <w:pPr>
        <w:pStyle w:val="ListBullet2"/>
      </w:pPr>
      <w:r w:rsidRPr="002E0DB2">
        <w:t>contact sufficient to confirm or clarify job requirements</w:t>
      </w:r>
    </w:p>
    <w:p w:rsidR="00000000" w:rsidRPr="002E0DB2" w:rsidP="002E0DB2">
      <w:pPr>
        <w:pStyle w:val="ListBullet"/>
      </w:pPr>
      <w:r w:rsidRPr="002E0DB2">
        <w:t>relationships with team members:</w:t>
      </w:r>
    </w:p>
    <w:p w:rsidR="00000000" w:rsidRPr="002E0DB2" w:rsidP="002E0DB2">
      <w:pPr>
        <w:pStyle w:val="ListBullet2"/>
      </w:pPr>
      <w:r w:rsidRPr="002E0DB2">
        <w:t>work may be undertaken with others</w:t>
      </w:r>
    </w:p>
    <w:p w:rsidR="00000000" w:rsidRPr="002E0DB2" w:rsidP="002E0DB2">
      <w:pPr>
        <w:pStyle w:val="ListBullet"/>
      </w:pPr>
      <w:r w:rsidRPr="002E0DB2">
        <w:t>timeframe:</w:t>
      </w:r>
    </w:p>
    <w:p w:rsidR="00000000" w:rsidRPr="002E0DB2" w:rsidP="002E0DB2">
      <w:pPr>
        <w:pStyle w:val="ListBullet2"/>
      </w:pPr>
      <w:r w:rsidRPr="002E0DB2">
        <w:t>according to job requirements.</w:t>
      </w:r>
    </w:p>
    <w:p w:rsidR="00000000" w:rsidRPr="002E0DB2" w:rsidP="002E0DB2">
      <w:pPr>
        <w:pStyle w:val="BodyText"/>
      </w:pPr>
    </w:p>
    <w:p w:rsidR="00000000" w:rsidRPr="002E0DB2" w:rsidP="00822CF9">
      <w:pPr>
        <w:pStyle w:val="Heading4"/>
      </w:pPr>
      <w:r w:rsidRPr="002E0DB2">
        <w:rPr>
          <w:rStyle w:val="SpecialBold"/>
        </w:rPr>
        <w:t>Assessor requirements</w:t>
      </w:r>
    </w:p>
    <w:p w:rsidR="00000000" w:rsidRPr="002E0DB2" w:rsidP="00822CF9">
      <w:pPr>
        <w:pStyle w:val="BodyText"/>
      </w:pPr>
      <w:r w:rsidRPr="002E0DB2">
        <w:t xml:space="preserve">As a minimum, assessors must satisfy the assessor requirements in the Standards for Registered Training Organisations (RTOs) current at the time of assessment. </w:t>
      </w:r>
    </w:p>
    <w:p w:rsidR="00000000" w:rsidRPr="002E0DB2" w:rsidP="002E0DB2">
      <w:pPr>
        <w:pStyle w:val="Heading1"/>
      </w:pPr>
      <w:bookmarkStart w:id="15" w:name="O_832057"/>
      <w:bookmarkEnd w:id="15"/>
      <w:r w:rsidRPr="002E0DB2">
        <w:t>Links</w:t>
      </w:r>
    </w:p>
    <w:p w:rsidR="00000000" w:rsidRPr="002E0DB2" w:rsidP="00822CF9">
      <w:pPr>
        <w:pStyle w:val="BodyText"/>
      </w:pPr>
      <w:r w:rsidRPr="002E0DB2">
        <w:t>Companion Volume i</w:t>
      </w:r>
      <w:r w:rsidRPr="002E0DB2">
        <w:t xml:space="preserve">mplementation guides are found in VETNet - </w:t>
      </w:r>
      <w:r>
        <w:fldChar w:fldCharType="begin"/>
      </w:r>
      <w:r>
        <w:instrText xml:space="preserve"> HYPERLINK "https://vetnet.gov.au/Pages/TrainingDocs.aspx?q=7e15fa6a-68b8-4097-b099-030a5569b1ad" </w:instrText>
      </w:r>
      <w:r>
        <w:fldChar w:fldCharType="separate"/>
      </w:r>
      <w:r w:rsidRPr="00071E43">
        <w:rPr>
          <w:rStyle w:val="Hyperlink"/>
        </w:rPr>
        <w:t>https://vetnet.gov.au/Pages/TrainingDocs.aspx?q=7e15fa6a-68b8-4097-b099-030a5569b1ad</w:t>
      </w:r>
      <w:r>
        <w:fldChar w:fldCharType="end"/>
      </w:r>
    </w:p>
    <w:p w:rsidR="00000000" w:rsidRPr="002E0DB2" w:rsidP="002E0DB2"/>
    <w:sectPr w:rsidSect="002E0D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B2" w:rsidRPr="00822CF9" w:rsidP="00822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F9" w:rsidP="002E0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2CF9" w:rsidP="002E0D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22CF9" w:rsidP="002E0D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B2" w:rsidP="002E0DB2">
    <w:pPr>
      <w:pStyle w:val="Footer"/>
      <w:framePr w:wrap="around"/>
    </w:pPr>
    <w:r>
      <w:fldChar w:fldCharType="begin"/>
    </w:r>
    <w:r>
      <w:instrText xml:space="preserve"> DOCPROPERTY  Subject  \* MERGEFORMAT </w:instrText>
    </w:r>
    <w:r>
      <w:fldChar w:fldCharType="separate"/>
    </w:r>
    <w:r w:rsidR="00822CF9">
      <w:t>Approved</w:t>
    </w:r>
    <w:r w:rsidR="00822CF9">
      <w:fldChar w:fldCharType="end"/>
    </w:r>
    <w:r>
      <w:tab/>
      <w:t xml:space="preserve">Page </w:t>
    </w:r>
    <w:r>
      <w:fldChar w:fldCharType="begin"/>
    </w:r>
    <w:r>
      <w:instrText xml:space="preserve"> PAGE  \* Arabic  \* MERGEFORMAT </w:instrText>
    </w:r>
    <w:r>
      <w:fldChar w:fldCharType="separate"/>
    </w:r>
    <w:r w:rsidR="00822C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CF9">
      <w:rPr>
        <w:noProof/>
      </w:rPr>
      <w:t>5</w:t>
    </w:r>
    <w:r>
      <w:rPr>
        <w:noProof/>
      </w:rPr>
      <w:fldChar w:fldCharType="end"/>
    </w:r>
  </w:p>
  <w:p w:rsidR="002E0DB2" w:rsidP="002E0DB2">
    <w:pPr>
      <w:pStyle w:val="Footer"/>
      <w:framePr w:wrap="around"/>
    </w:pPr>
    <w:r>
      <w:t xml:space="preserve">© Commonwealth of Australia, </w:t>
    </w:r>
    <w:r>
      <w:fldChar w:fldCharType="begin"/>
    </w:r>
    <w:r>
      <w:instrText xml:space="preserve"> DATE  \@ "yyyy"  \* MERGEFORMAT </w:instrText>
    </w:r>
    <w:r>
      <w:fldChar w:fldCharType="separate"/>
    </w:r>
    <w:r w:rsidR="00822CF9">
      <w:rPr>
        <w:noProof/>
      </w:rPr>
      <w:t>2025</w:t>
    </w:r>
    <w:r>
      <w:fldChar w:fldCharType="end"/>
    </w:r>
    <w:r>
      <w:tab/>
    </w:r>
    <w:r>
      <w:fldChar w:fldCharType="begin"/>
    </w:r>
    <w:r>
      <w:instrText xml:space="preserve"> DOCPROPERTY  Author  \* MERGEFORMAT </w:instrText>
    </w:r>
    <w:r>
      <w:fldChar w:fldCharType="separate"/>
    </w:r>
    <w:r w:rsidR="00822CF9">
      <w:t>BuildSkills Australia</w:t>
    </w:r>
    <w:r w:rsidR="00822CF9">
      <w:fldChar w:fldCharType="end"/>
    </w:r>
  </w:p>
  <w:p w:rsidR="002E0DB2" w:rsidP="002E0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DB2" w:rsidRPr="00822CF9" w:rsidP="00822C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F9" w:rsidRPr="002D2AF8" w:rsidP="002E0DB2">
    <w:pPr>
      <w:pStyle w:val="Header"/>
      <w:framePr w:wrap="around"/>
    </w:pPr>
    <w:r>
      <w:fldChar w:fldCharType="begin"/>
    </w:r>
    <w:r>
      <w:instrText xml:space="preserve"> TITLE   \* MERGEFORMAT </w:instrText>
    </w:r>
    <w:r>
      <w:fldChar w:fldCharType="separate"/>
    </w:r>
    <w:r>
      <w:t>CPCCSG3003 Colour manage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2CF9" w:rsidP="002E0D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B2" w:rsidRPr="002D2AF8" w:rsidP="002E0DB2">
    <w:pPr>
      <w:pStyle w:val="Header"/>
      <w:framePr w:wrap="around"/>
    </w:pPr>
    <w:r>
      <w:fldChar w:fldCharType="begin"/>
    </w:r>
    <w:r>
      <w:instrText xml:space="preserve"> TITLE   \* MERGEFORMAT </w:instrText>
    </w:r>
    <w:r>
      <w:fldChar w:fldCharType="separate"/>
    </w:r>
    <w:r w:rsidR="00822CF9">
      <w:t>CPCCSG3003 Colour manage signs</w:t>
    </w:r>
    <w:r w:rsidR="00822CF9">
      <w:fldChar w:fldCharType="end"/>
    </w:r>
    <w:r>
      <w:tab/>
      <w:t xml:space="preserve">Date this document was generated: </w:t>
    </w:r>
    <w:r>
      <w:fldChar w:fldCharType="begin"/>
    </w:r>
    <w:r>
      <w:instrText xml:space="preserve"> CREATEDATE  \@ "d MMMM yyyy"  \* MERGEFORMAT </w:instrText>
    </w:r>
    <w:r>
      <w:fldChar w:fldCharType="separate"/>
    </w:r>
    <w:r w:rsidR="00822CF9">
      <w:rPr>
        <w:noProof/>
      </w:rPr>
      <w:t>2 March 2025</w:t>
    </w:r>
    <w:r>
      <w:fldChar w:fldCharType="end"/>
    </w:r>
  </w:p>
  <w:p w:rsidR="002E0DB2" w:rsidP="002E0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2A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8A3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EC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DB2"/>
    <w:pPr>
      <w:spacing w:before="360" w:after="60"/>
      <w:outlineLvl w:val="0"/>
    </w:pPr>
    <w:rPr>
      <w:sz w:val="32"/>
    </w:rPr>
  </w:style>
  <w:style w:type="paragraph" w:styleId="Heading2">
    <w:name w:val="heading 2"/>
    <w:basedOn w:val="HeadingBase"/>
    <w:next w:val="BodyText"/>
    <w:link w:val="Heading2Char"/>
    <w:qFormat/>
    <w:rsid w:val="002E0DB2"/>
    <w:pPr>
      <w:keepLines/>
      <w:spacing w:before="240" w:after="120"/>
      <w:outlineLvl w:val="1"/>
    </w:pPr>
    <w:rPr>
      <w:sz w:val="28"/>
      <w:szCs w:val="40"/>
    </w:rPr>
  </w:style>
  <w:style w:type="paragraph" w:styleId="Heading3">
    <w:name w:val="heading 3"/>
    <w:basedOn w:val="HeadingBase"/>
    <w:next w:val="BodyText"/>
    <w:link w:val="Heading3Char"/>
    <w:qFormat/>
    <w:rsid w:val="002E0DB2"/>
    <w:pPr>
      <w:spacing w:before="180" w:after="120"/>
      <w:outlineLvl w:val="2"/>
    </w:pPr>
    <w:rPr>
      <w:spacing w:val="-10"/>
      <w:kern w:val="32"/>
    </w:rPr>
  </w:style>
  <w:style w:type="paragraph" w:styleId="Heading4">
    <w:name w:val="heading 4"/>
    <w:basedOn w:val="HeadingBase"/>
    <w:next w:val="BodyText"/>
    <w:link w:val="Heading4Char"/>
    <w:qFormat/>
    <w:rsid w:val="002E0DB2"/>
    <w:pPr>
      <w:spacing w:before="160" w:after="120"/>
      <w:outlineLvl w:val="3"/>
    </w:pPr>
    <w:rPr>
      <w:sz w:val="22"/>
    </w:rPr>
  </w:style>
  <w:style w:type="paragraph" w:styleId="Heading5">
    <w:name w:val="heading 5"/>
    <w:basedOn w:val="HeadingBase"/>
    <w:next w:val="Normal"/>
    <w:link w:val="Heading5Char"/>
    <w:qFormat/>
    <w:rsid w:val="002E0DB2"/>
    <w:pPr>
      <w:spacing w:before="80"/>
      <w:outlineLvl w:val="4"/>
    </w:pPr>
    <w:rPr>
      <w:color w:val="918585"/>
      <w:sz w:val="20"/>
    </w:rPr>
  </w:style>
  <w:style w:type="paragraph" w:styleId="Heading6">
    <w:name w:val="heading 6"/>
    <w:basedOn w:val="HeadingBase"/>
    <w:next w:val="Normal"/>
    <w:link w:val="Heading6Char"/>
    <w:qFormat/>
    <w:rsid w:val="002E0DB2"/>
    <w:pPr>
      <w:spacing w:before="60"/>
      <w:outlineLvl w:val="5"/>
    </w:pPr>
    <w:rPr>
      <w:color w:val="918585"/>
      <w:sz w:val="20"/>
    </w:rPr>
  </w:style>
  <w:style w:type="paragraph" w:styleId="Heading7">
    <w:name w:val="heading 7"/>
    <w:basedOn w:val="Normal"/>
    <w:next w:val="Normal"/>
    <w:link w:val="Heading7Char"/>
    <w:qFormat/>
    <w:rsid w:val="002E0DB2"/>
    <w:pPr>
      <w:ind w:left="720"/>
      <w:outlineLvl w:val="6"/>
    </w:pPr>
    <w:rPr>
      <w:i/>
    </w:rPr>
  </w:style>
  <w:style w:type="paragraph" w:styleId="Heading8">
    <w:name w:val="heading 8"/>
    <w:basedOn w:val="Normal"/>
    <w:next w:val="Normal"/>
    <w:link w:val="Heading8Char"/>
    <w:qFormat/>
    <w:rsid w:val="002E0DB2"/>
    <w:pPr>
      <w:ind w:left="720"/>
      <w:outlineLvl w:val="7"/>
    </w:pPr>
    <w:rPr>
      <w:i/>
    </w:rPr>
  </w:style>
  <w:style w:type="paragraph" w:styleId="Heading9">
    <w:name w:val="heading 9"/>
    <w:basedOn w:val="Normal"/>
    <w:next w:val="Normal"/>
    <w:link w:val="Heading9Char"/>
    <w:qFormat/>
    <w:rsid w:val="002E0DB2"/>
    <w:pPr>
      <w:ind w:left="720"/>
      <w:outlineLvl w:val="8"/>
    </w:pPr>
    <w:rPr>
      <w:i/>
    </w:rPr>
  </w:style>
  <w:style w:type="character" w:default="1" w:styleId="DefaultParagraphFont">
    <w:name w:val="Default Paragraph Font"/>
    <w:uiPriority w:val="1"/>
    <w:unhideWhenUsed/>
    <w:rsid w:val="002E0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DB2"/>
  </w:style>
  <w:style w:type="character" w:customStyle="1" w:styleId="Heading1Char">
    <w:name w:val="Heading 1 Char"/>
    <w:basedOn w:val="DefaultParagraphFont"/>
    <w:link w:val="Heading1"/>
    <w:rsid w:val="002E0DB2"/>
    <w:rPr>
      <w:rFonts w:ascii="Times New Roman" w:eastAsia="Times New Roman" w:hAnsi="Times New Roman" w:cs="Times New Roman"/>
      <w:b/>
      <w:sz w:val="32"/>
      <w:szCs w:val="20"/>
      <w:lang w:eastAsia="en-US"/>
    </w:rPr>
  </w:style>
  <w:style w:type="paragraph" w:styleId="BodyText">
    <w:name w:val="Body Text"/>
    <w:basedOn w:val="Normal"/>
    <w:link w:val="BodyTextChar"/>
    <w:rsid w:val="002E0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DB2"/>
    <w:rPr>
      <w:rFonts w:ascii="Times New Roman" w:eastAsia="Times New Roman" w:hAnsi="Times New Roman" w:cs="Times New Roman"/>
      <w:sz w:val="24"/>
      <w:lang w:eastAsia="en-US"/>
    </w:rPr>
  </w:style>
  <w:style w:type="paragraph" w:styleId="ListBullet">
    <w:name w:val="List Bullet"/>
    <w:basedOn w:val="List"/>
    <w:rsid w:val="002E0DB2"/>
    <w:pPr>
      <w:numPr>
        <w:numId w:val="12"/>
      </w:numPr>
      <w:tabs>
        <w:tab w:val="clear" w:pos="340"/>
      </w:tabs>
      <w:spacing w:before="40" w:after="40"/>
    </w:pPr>
  </w:style>
  <w:style w:type="character" w:customStyle="1" w:styleId="SpecialBold">
    <w:name w:val="Special Bold"/>
    <w:basedOn w:val="DefaultParagraphFont"/>
    <w:rsid w:val="002E0DB2"/>
    <w:rPr>
      <w:b/>
      <w:spacing w:val="0"/>
    </w:rPr>
  </w:style>
  <w:style w:type="paragraph" w:styleId="ListBullet2">
    <w:name w:val="List Bullet 2"/>
    <w:basedOn w:val="List2"/>
    <w:rsid w:val="002E0DB2"/>
    <w:pPr>
      <w:numPr>
        <w:numId w:val="13"/>
      </w:numPr>
      <w:tabs>
        <w:tab w:val="clear" w:pos="680"/>
      </w:tabs>
    </w:pPr>
  </w:style>
  <w:style w:type="paragraph" w:customStyle="1" w:styleId="SuperHeading">
    <w:name w:val="SuperHeading"/>
    <w:basedOn w:val="Normal"/>
    <w:rsid w:val="002E0DB2"/>
    <w:pPr>
      <w:spacing w:before="240" w:after="120"/>
      <w:outlineLvl w:val="0"/>
    </w:pPr>
    <w:rPr>
      <w:rFonts w:ascii="Times New Roman" w:hAnsi="Times New Roman"/>
      <w:b/>
      <w:sz w:val="32"/>
    </w:rPr>
  </w:style>
  <w:style w:type="paragraph" w:customStyle="1" w:styleId="AllowPageBreak">
    <w:name w:val="AllowPageBreak"/>
    <w:rsid w:val="002E0D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0DB2"/>
    <w:rPr>
      <w:b/>
      <w:i/>
      <w:u w:val="none"/>
    </w:rPr>
  </w:style>
  <w:style w:type="character" w:customStyle="1" w:styleId="Heading2Char">
    <w:name w:val="Heading 2 Char"/>
    <w:basedOn w:val="DefaultParagraphFont"/>
    <w:link w:val="Heading2"/>
    <w:rsid w:val="002E0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DB2"/>
    <w:rPr>
      <w:rFonts w:ascii="Courier New" w:eastAsia="Times New Roman" w:hAnsi="Courier New" w:cs="Times New Roman"/>
      <w:i/>
      <w:szCs w:val="20"/>
      <w:lang w:eastAsia="en-US"/>
    </w:rPr>
  </w:style>
  <w:style w:type="paragraph" w:customStyle="1" w:styleId="HeadingBase">
    <w:name w:val="Heading Base"/>
    <w:rsid w:val="002E0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DB2"/>
    <w:pPr>
      <w:tabs>
        <w:tab w:val="right" w:leader="dot" w:pos="9072"/>
      </w:tabs>
      <w:ind w:left="567"/>
    </w:pPr>
    <w:rPr>
      <w:szCs w:val="22"/>
    </w:rPr>
  </w:style>
  <w:style w:type="paragraph" w:customStyle="1" w:styleId="TOCBase">
    <w:name w:val="TOC Base"/>
    <w:rsid w:val="002E0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DB2"/>
    <w:pPr>
      <w:tabs>
        <w:tab w:val="right" w:leader="dot" w:pos="9072"/>
      </w:tabs>
      <w:spacing w:before="40" w:after="40"/>
      <w:ind w:left="284"/>
    </w:pPr>
    <w:rPr>
      <w:rFonts w:ascii="Times New Roman" w:hAnsi="Times New Roman"/>
    </w:rPr>
  </w:style>
  <w:style w:type="paragraph" w:styleId="TOC1">
    <w:name w:val="toc 1"/>
    <w:basedOn w:val="TOCBase"/>
    <w:next w:val="Normal"/>
    <w:rsid w:val="002E0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DB2"/>
    <w:rPr>
      <w:rFonts w:ascii="Times New Roman" w:eastAsia="Times New Roman" w:hAnsi="Times New Roman" w:cs="Times New Roman"/>
      <w:sz w:val="16"/>
      <w:lang w:eastAsia="en-US"/>
    </w:rPr>
  </w:style>
  <w:style w:type="paragraph" w:styleId="Title">
    <w:name w:val="Title"/>
    <w:basedOn w:val="HeadingBase"/>
    <w:link w:val="TitleChar"/>
    <w:qFormat/>
    <w:rsid w:val="002E0DB2"/>
    <w:pPr>
      <w:spacing w:before="5040"/>
      <w:jc w:val="center"/>
    </w:pPr>
    <w:rPr>
      <w:sz w:val="48"/>
      <w:szCs w:val="72"/>
      <w:lang w:val="en-US"/>
    </w:rPr>
  </w:style>
  <w:style w:type="character" w:customStyle="1" w:styleId="TitleChar">
    <w:name w:val="Title Char"/>
    <w:basedOn w:val="DefaultParagraphFont"/>
    <w:link w:val="Title"/>
    <w:rsid w:val="002E0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DB2"/>
    <w:pPr>
      <w:tabs>
        <w:tab w:val="left" w:pos="3600"/>
        <w:tab w:val="left" w:pos="3958"/>
      </w:tabs>
    </w:pPr>
  </w:style>
  <w:style w:type="paragraph" w:styleId="List">
    <w:name w:val="List"/>
    <w:basedOn w:val="BodyText"/>
    <w:next w:val="BodyText"/>
    <w:rsid w:val="002E0DB2"/>
    <w:pPr>
      <w:tabs>
        <w:tab w:val="left" w:pos="340"/>
      </w:tabs>
      <w:spacing w:before="60" w:after="60"/>
      <w:ind w:left="340" w:hanging="340"/>
    </w:pPr>
  </w:style>
  <w:style w:type="paragraph" w:customStyle="1" w:styleId="Note">
    <w:name w:val="Note"/>
    <w:basedOn w:val="BodyText"/>
    <w:rsid w:val="002E0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DB2"/>
    <w:pPr>
      <w:framePr w:wrap="auto" w:hAnchor="text" w:y="6049"/>
    </w:pPr>
    <w:rPr>
      <w:color w:val="000000"/>
      <w:sz w:val="40"/>
    </w:rPr>
  </w:style>
  <w:style w:type="paragraph" w:customStyle="1" w:styleId="TOCTitle">
    <w:name w:val="TOCTitle"/>
    <w:basedOn w:val="Heading1"/>
    <w:rsid w:val="002E0DB2"/>
    <w:pPr>
      <w:spacing w:after="240"/>
      <w:jc w:val="center"/>
      <w:outlineLvl w:val="9"/>
    </w:pPr>
    <w:rPr>
      <w:caps/>
    </w:rPr>
  </w:style>
  <w:style w:type="paragraph" w:customStyle="1" w:styleId="Version">
    <w:name w:val="Version"/>
    <w:rsid w:val="002E0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DB2"/>
    <w:pPr>
      <w:keepNext w:val="0"/>
      <w:tabs>
        <w:tab w:val="right" w:pos="4176"/>
      </w:tabs>
      <w:ind w:left="198" w:hanging="198"/>
    </w:pPr>
    <w:rPr>
      <w:rFonts w:ascii="Garamond" w:hAnsi="Garamond"/>
    </w:rPr>
  </w:style>
  <w:style w:type="paragraph" w:styleId="IndexHeading">
    <w:name w:val="index heading"/>
    <w:basedOn w:val="Normal"/>
    <w:next w:val="Index1"/>
    <w:semiHidden/>
    <w:rsid w:val="002E0DB2"/>
    <w:pPr>
      <w:spacing w:before="120" w:after="120"/>
    </w:pPr>
    <w:rPr>
      <w:rFonts w:ascii="Arial" w:hAnsi="Arial"/>
      <w:b/>
      <w:color w:val="918585"/>
      <w:sz w:val="24"/>
    </w:rPr>
  </w:style>
  <w:style w:type="paragraph" w:styleId="Header">
    <w:name w:val="header"/>
    <w:basedOn w:val="Normal"/>
    <w:link w:val="HeaderChar"/>
    <w:rsid w:val="002E0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DB2"/>
    <w:rPr>
      <w:rFonts w:ascii="Times New Roman" w:eastAsia="Times New Roman" w:hAnsi="Times New Roman" w:cs="Times New Roman"/>
      <w:sz w:val="16"/>
      <w:szCs w:val="20"/>
      <w:lang w:val="en-GB" w:eastAsia="en-US"/>
    </w:rPr>
  </w:style>
  <w:style w:type="paragraph" w:customStyle="1" w:styleId="Chapter">
    <w:name w:val="Chapter"/>
    <w:basedOn w:val="Normal"/>
    <w:rsid w:val="002E0DB2"/>
    <w:pPr>
      <w:spacing w:before="240"/>
    </w:pPr>
    <w:rPr>
      <w:rFonts w:ascii="Times New Roman" w:hAnsi="Times New Roman"/>
      <w:smallCaps/>
      <w:spacing w:val="80"/>
      <w:sz w:val="28"/>
    </w:rPr>
  </w:style>
  <w:style w:type="paragraph" w:customStyle="1" w:styleId="InChapter">
    <w:name w:val="InChapter"/>
    <w:basedOn w:val="Heading3"/>
    <w:rsid w:val="002E0DB2"/>
    <w:pPr>
      <w:spacing w:after="240"/>
      <w:outlineLvl w:val="9"/>
    </w:pPr>
    <w:rPr>
      <w:noProof/>
    </w:rPr>
  </w:style>
  <w:style w:type="paragraph" w:styleId="Index2">
    <w:name w:val="index 2"/>
    <w:basedOn w:val="Normal"/>
    <w:next w:val="Normal"/>
    <w:semiHidden/>
    <w:rsid w:val="002E0DB2"/>
    <w:pPr>
      <w:tabs>
        <w:tab w:val="right" w:pos="4176"/>
      </w:tabs>
      <w:ind w:left="568" w:hanging="284"/>
    </w:pPr>
    <w:rPr>
      <w:rFonts w:ascii="Garamond" w:hAnsi="Garamond"/>
    </w:rPr>
  </w:style>
  <w:style w:type="paragraph" w:customStyle="1" w:styleId="Byline">
    <w:name w:val="Byline"/>
    <w:rsid w:val="002E0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DB2"/>
    <w:pPr>
      <w:tabs>
        <w:tab w:val="clear" w:pos="3600"/>
        <w:tab w:val="clear" w:pos="3958"/>
      </w:tabs>
      <w:jc w:val="right"/>
    </w:pPr>
  </w:style>
  <w:style w:type="character" w:styleId="Emphasis">
    <w:name w:val="Emphasis"/>
    <w:basedOn w:val="DefaultParagraphFont"/>
    <w:qFormat/>
    <w:rsid w:val="002E0DB2"/>
    <w:rPr>
      <w:i/>
    </w:rPr>
  </w:style>
  <w:style w:type="paragraph" w:styleId="Caption">
    <w:name w:val="caption"/>
    <w:basedOn w:val="BodyText"/>
    <w:next w:val="Normal"/>
    <w:qFormat/>
    <w:rsid w:val="002E0DB2"/>
    <w:pPr>
      <w:framePr w:w="2268" w:hSpace="181" w:vSpace="181" w:wrap="around" w:vAnchor="text" w:hAnchor="page" w:x="1135" w:y="285" w:anchorLock="1"/>
    </w:pPr>
    <w:rPr>
      <w:i/>
    </w:rPr>
  </w:style>
  <w:style w:type="paragraph" w:customStyle="1" w:styleId="MiniTOCTitle">
    <w:name w:val="MiniTOCTitle"/>
    <w:basedOn w:val="Heading4"/>
    <w:rsid w:val="002E0DB2"/>
    <w:pPr>
      <w:spacing w:before="240"/>
      <w:outlineLvl w:val="9"/>
    </w:pPr>
    <w:rPr>
      <w:noProof/>
      <w:sz w:val="24"/>
    </w:rPr>
  </w:style>
  <w:style w:type="paragraph" w:customStyle="1" w:styleId="MiniTOCItem">
    <w:name w:val="MiniTOCItem"/>
    <w:basedOn w:val="ListBullet"/>
    <w:rsid w:val="002E0DB2"/>
    <w:pPr>
      <w:numPr>
        <w:numId w:val="0"/>
      </w:numPr>
      <w:tabs>
        <w:tab w:val="right" w:leader="dot" w:pos="6521"/>
      </w:tabs>
      <w:spacing w:before="0" w:after="0"/>
    </w:pPr>
  </w:style>
  <w:style w:type="paragraph" w:customStyle="1" w:styleId="TOFTitle">
    <w:name w:val="TOFTitle"/>
    <w:basedOn w:val="TOCTitle"/>
    <w:rsid w:val="002E0DB2"/>
  </w:style>
  <w:style w:type="paragraph" w:styleId="TableofFigures">
    <w:name w:val="table of figures"/>
    <w:basedOn w:val="Normal"/>
    <w:next w:val="Normal"/>
    <w:semiHidden/>
    <w:rsid w:val="002E0DB2"/>
    <w:pPr>
      <w:tabs>
        <w:tab w:val="right" w:leader="dot" w:pos="9072"/>
      </w:tabs>
      <w:ind w:left="970" w:hanging="403"/>
    </w:pPr>
    <w:rPr>
      <w:rFonts w:ascii="Times New Roman" w:hAnsi="Times New Roman"/>
      <w:b/>
    </w:rPr>
  </w:style>
  <w:style w:type="paragraph" w:styleId="ListNumber">
    <w:name w:val="List Number"/>
    <w:basedOn w:val="List"/>
    <w:rsid w:val="002E0DB2"/>
    <w:pPr>
      <w:numPr>
        <w:numId w:val="15"/>
      </w:numPr>
      <w:tabs>
        <w:tab w:val="clear" w:pos="340"/>
      </w:tabs>
    </w:pPr>
  </w:style>
  <w:style w:type="character" w:customStyle="1" w:styleId="WingdingSymbols">
    <w:name w:val="Wingding Symbols"/>
    <w:rsid w:val="002E0DB2"/>
    <w:rPr>
      <w:rFonts w:ascii="Wingdings" w:hAnsi="Wingdings"/>
    </w:rPr>
  </w:style>
  <w:style w:type="paragraph" w:customStyle="1" w:styleId="TableHeading">
    <w:name w:val="Table Heading"/>
    <w:basedOn w:val="HeadingBase"/>
    <w:rsid w:val="002E0DB2"/>
    <w:pPr>
      <w:keepLines/>
      <w:pBdr>
        <w:bottom w:val="single" w:sz="6" w:space="1" w:color="918585"/>
      </w:pBdr>
      <w:spacing w:before="240"/>
    </w:pPr>
  </w:style>
  <w:style w:type="character" w:customStyle="1" w:styleId="HotSpot">
    <w:name w:val="HotSpot"/>
    <w:rsid w:val="002E0DB2"/>
    <w:rPr>
      <w:color w:val="0033CC"/>
      <w:u w:val="none"/>
    </w:rPr>
  </w:style>
  <w:style w:type="paragraph" w:customStyle="1" w:styleId="BodyTextRight">
    <w:name w:val="Body Text Right"/>
    <w:basedOn w:val="BodyText"/>
    <w:rsid w:val="002E0DB2"/>
    <w:pPr>
      <w:spacing w:before="0" w:after="0"/>
      <w:jc w:val="right"/>
    </w:pPr>
  </w:style>
  <w:style w:type="paragraph" w:styleId="Index3">
    <w:name w:val="index 3"/>
    <w:basedOn w:val="ListNumber2"/>
    <w:next w:val="Normal"/>
    <w:semiHidden/>
    <w:rsid w:val="002E0DB2"/>
    <w:pPr>
      <w:numPr>
        <w:numId w:val="0"/>
      </w:numPr>
      <w:tabs>
        <w:tab w:val="right" w:leader="dot" w:pos="4176"/>
      </w:tabs>
    </w:pPr>
  </w:style>
  <w:style w:type="paragraph" w:styleId="ListNumber2">
    <w:name w:val="List Number 2"/>
    <w:basedOn w:val="List2"/>
    <w:rsid w:val="002E0DB2"/>
    <w:pPr>
      <w:numPr>
        <w:numId w:val="10"/>
      </w:numPr>
      <w:tabs>
        <w:tab w:val="clear" w:pos="1060"/>
      </w:tabs>
    </w:pPr>
  </w:style>
  <w:style w:type="paragraph" w:customStyle="1" w:styleId="MarginNote">
    <w:name w:val="Margin Note"/>
    <w:basedOn w:val="BodyText"/>
    <w:rsid w:val="002E0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DB2"/>
    <w:rPr>
      <w:sz w:val="32"/>
    </w:rPr>
  </w:style>
  <w:style w:type="paragraph" w:customStyle="1" w:styleId="HeadingProcedure">
    <w:name w:val="Heading Procedure"/>
    <w:basedOn w:val="HeadingBase"/>
    <w:next w:val="Normal"/>
    <w:rsid w:val="002E0DB2"/>
    <w:pPr>
      <w:tabs>
        <w:tab w:val="left" w:pos="0"/>
      </w:tabs>
      <w:spacing w:before="120" w:after="60"/>
    </w:pPr>
    <w:rPr>
      <w:i/>
      <w:color w:val="918585"/>
      <w:sz w:val="22"/>
    </w:rPr>
  </w:style>
  <w:style w:type="paragraph" w:customStyle="1" w:styleId="TableBodyText">
    <w:name w:val="Table Body Text"/>
    <w:basedOn w:val="BodyText"/>
    <w:rsid w:val="002E0DB2"/>
    <w:pPr>
      <w:spacing w:before="60" w:after="60"/>
    </w:pPr>
  </w:style>
  <w:style w:type="paragraph" w:styleId="ListContinue">
    <w:name w:val="List Continue"/>
    <w:basedOn w:val="List"/>
    <w:rsid w:val="002E0DB2"/>
    <w:pPr>
      <w:ind w:firstLine="0"/>
    </w:pPr>
  </w:style>
  <w:style w:type="paragraph" w:customStyle="1" w:styleId="ListNote">
    <w:name w:val="List Note"/>
    <w:basedOn w:val="List"/>
    <w:rsid w:val="002E0DB2"/>
    <w:pPr>
      <w:pBdr>
        <w:top w:val="single" w:sz="6" w:space="2" w:color="918585"/>
        <w:bottom w:val="single" w:sz="6" w:space="2" w:color="918585"/>
      </w:pBdr>
      <w:tabs>
        <w:tab w:val="left" w:pos="1021"/>
      </w:tabs>
      <w:ind w:firstLine="0"/>
    </w:pPr>
  </w:style>
  <w:style w:type="paragraph" w:customStyle="1" w:styleId="Warning">
    <w:name w:val="Warning"/>
    <w:basedOn w:val="BodyText"/>
    <w:rsid w:val="002E0DB2"/>
    <w:pPr>
      <w:shd w:val="clear" w:color="auto" w:fill="D9D9D9"/>
      <w:tabs>
        <w:tab w:val="left" w:pos="992"/>
      </w:tabs>
      <w:ind w:left="119" w:right="119"/>
    </w:pPr>
    <w:rPr>
      <w:sz w:val="20"/>
    </w:rPr>
  </w:style>
  <w:style w:type="paragraph" w:customStyle="1" w:styleId="MarginIcons">
    <w:name w:val="Margin Icons"/>
    <w:basedOn w:val="BodyText"/>
    <w:rsid w:val="002E0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DB2"/>
    <w:rPr>
      <w:rFonts w:ascii="Courier New" w:hAnsi="Courier New"/>
    </w:rPr>
  </w:style>
  <w:style w:type="paragraph" w:customStyle="1" w:styleId="NoteBullet">
    <w:name w:val="Note Bullet"/>
    <w:basedOn w:val="Note"/>
    <w:rsid w:val="002E0DB2"/>
    <w:pPr>
      <w:tabs>
        <w:tab w:val="clear" w:pos="680"/>
      </w:tabs>
      <w:spacing w:before="60" w:after="60"/>
    </w:pPr>
  </w:style>
  <w:style w:type="paragraph" w:customStyle="1" w:styleId="SubHeading2">
    <w:name w:val="SubHeading2"/>
    <w:basedOn w:val="HeadingBase"/>
    <w:rsid w:val="002E0DB2"/>
    <w:pPr>
      <w:spacing w:before="240" w:after="60"/>
    </w:pPr>
    <w:rPr>
      <w:sz w:val="20"/>
    </w:rPr>
  </w:style>
  <w:style w:type="paragraph" w:customStyle="1" w:styleId="SubHeading1">
    <w:name w:val="SubHeading1"/>
    <w:basedOn w:val="HeadingBase"/>
    <w:rsid w:val="002E0DB2"/>
    <w:pPr>
      <w:spacing w:before="240" w:after="60"/>
    </w:pPr>
    <w:rPr>
      <w:color w:val="918585"/>
      <w:sz w:val="22"/>
    </w:rPr>
  </w:style>
  <w:style w:type="paragraph" w:customStyle="1" w:styleId="SideHeading">
    <w:name w:val="Side Heading"/>
    <w:basedOn w:val="HeadingBase"/>
    <w:rsid w:val="002E0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DB2"/>
    <w:pPr>
      <w:tabs>
        <w:tab w:val="num" w:pos="360"/>
      </w:tabs>
    </w:pPr>
  </w:style>
  <w:style w:type="paragraph" w:styleId="PlainText">
    <w:name w:val="Plain Text"/>
    <w:basedOn w:val="Normal"/>
    <w:link w:val="PlainTextChar"/>
    <w:rsid w:val="002E0DB2"/>
    <w:rPr>
      <w:sz w:val="20"/>
    </w:rPr>
  </w:style>
  <w:style w:type="character" w:customStyle="1" w:styleId="PlainTextChar">
    <w:name w:val="Plain Text Char"/>
    <w:basedOn w:val="DefaultParagraphFont"/>
    <w:link w:val="PlainText"/>
    <w:rsid w:val="002E0DB2"/>
    <w:rPr>
      <w:rFonts w:ascii="Courier New" w:eastAsia="Times New Roman" w:hAnsi="Courier New" w:cs="Times New Roman"/>
      <w:sz w:val="20"/>
      <w:szCs w:val="20"/>
      <w:lang w:eastAsia="en-US"/>
    </w:rPr>
  </w:style>
  <w:style w:type="character" w:customStyle="1" w:styleId="MenuOption">
    <w:name w:val="Menu Option"/>
    <w:basedOn w:val="DefaultParagraphFont"/>
    <w:rsid w:val="002E0DB2"/>
    <w:rPr>
      <w:b/>
      <w:smallCaps/>
    </w:rPr>
  </w:style>
  <w:style w:type="paragraph" w:customStyle="1" w:styleId="TableListNumber">
    <w:name w:val="Table List Number"/>
    <w:basedOn w:val="ListNumber"/>
    <w:rsid w:val="002E0DB2"/>
    <w:pPr>
      <w:numPr>
        <w:numId w:val="0"/>
      </w:numPr>
    </w:pPr>
  </w:style>
  <w:style w:type="paragraph" w:styleId="TOC4">
    <w:name w:val="toc 4"/>
    <w:basedOn w:val="TOCBase"/>
    <w:next w:val="Normal"/>
    <w:semiHidden/>
    <w:rsid w:val="002E0DB2"/>
    <w:pPr>
      <w:tabs>
        <w:tab w:val="right" w:leader="dot" w:pos="9071"/>
      </w:tabs>
      <w:ind w:left="1701"/>
    </w:pPr>
  </w:style>
  <w:style w:type="paragraph" w:customStyle="1" w:styleId="ListAlpha">
    <w:name w:val="List Alpha"/>
    <w:basedOn w:val="List"/>
    <w:rsid w:val="002E0DB2"/>
    <w:pPr>
      <w:numPr>
        <w:numId w:val="9"/>
      </w:numPr>
    </w:pPr>
  </w:style>
  <w:style w:type="paragraph" w:customStyle="1" w:styleId="ListAlpha2">
    <w:name w:val="List Alpha 2"/>
    <w:basedOn w:val="List2"/>
    <w:rsid w:val="002E0DB2"/>
    <w:pPr>
      <w:numPr>
        <w:numId w:val="8"/>
      </w:numPr>
    </w:pPr>
  </w:style>
  <w:style w:type="paragraph" w:styleId="List2">
    <w:name w:val="List 2"/>
    <w:basedOn w:val="BodyText"/>
    <w:rsid w:val="002E0DB2"/>
    <w:pPr>
      <w:tabs>
        <w:tab w:val="left" w:pos="680"/>
      </w:tabs>
      <w:spacing w:before="60" w:after="60"/>
      <w:ind w:left="680" w:hanging="340"/>
    </w:pPr>
  </w:style>
  <w:style w:type="paragraph" w:styleId="List3">
    <w:name w:val="List 3"/>
    <w:basedOn w:val="BodyText"/>
    <w:rsid w:val="002E0DB2"/>
    <w:pPr>
      <w:tabs>
        <w:tab w:val="left" w:pos="1021"/>
      </w:tabs>
      <w:spacing w:before="60" w:after="60"/>
      <w:ind w:left="1020" w:hanging="340"/>
    </w:pPr>
  </w:style>
  <w:style w:type="paragraph" w:styleId="List4">
    <w:name w:val="List 4"/>
    <w:basedOn w:val="BodyText"/>
    <w:rsid w:val="002E0DB2"/>
    <w:pPr>
      <w:tabs>
        <w:tab w:val="left" w:pos="1361"/>
      </w:tabs>
      <w:spacing w:before="60" w:after="60"/>
      <w:ind w:left="1361" w:hanging="340"/>
    </w:pPr>
  </w:style>
  <w:style w:type="paragraph" w:styleId="List5">
    <w:name w:val="List 5"/>
    <w:basedOn w:val="BodyText"/>
    <w:rsid w:val="002E0DB2"/>
    <w:pPr>
      <w:tabs>
        <w:tab w:val="left" w:pos="1701"/>
      </w:tabs>
      <w:spacing w:before="60" w:after="60"/>
      <w:ind w:left="1701" w:hanging="340"/>
    </w:pPr>
  </w:style>
  <w:style w:type="paragraph" w:styleId="ListBullet3">
    <w:name w:val="List Bullet 3"/>
    <w:basedOn w:val="List3"/>
    <w:rsid w:val="002E0DB2"/>
    <w:pPr>
      <w:numPr>
        <w:numId w:val="14"/>
      </w:numPr>
      <w:tabs>
        <w:tab w:val="clear" w:pos="1021"/>
      </w:tabs>
      <w:ind w:left="1037" w:hanging="357"/>
    </w:pPr>
  </w:style>
  <w:style w:type="paragraph" w:styleId="ListBullet4">
    <w:name w:val="List Bullet 4"/>
    <w:basedOn w:val="List4"/>
    <w:rsid w:val="002E0DB2"/>
    <w:pPr>
      <w:numPr>
        <w:numId w:val="3"/>
      </w:numPr>
      <w:tabs>
        <w:tab w:val="clear" w:pos="1361"/>
      </w:tabs>
    </w:pPr>
  </w:style>
  <w:style w:type="paragraph" w:styleId="ListBullet5">
    <w:name w:val="List Bullet 5"/>
    <w:basedOn w:val="List5"/>
    <w:rsid w:val="002E0DB2"/>
    <w:pPr>
      <w:numPr>
        <w:numId w:val="4"/>
      </w:numPr>
    </w:pPr>
  </w:style>
  <w:style w:type="paragraph" w:styleId="ListContinue2">
    <w:name w:val="List Continue 2"/>
    <w:basedOn w:val="List2"/>
    <w:rsid w:val="002E0DB2"/>
    <w:pPr>
      <w:ind w:firstLine="0"/>
    </w:pPr>
  </w:style>
  <w:style w:type="paragraph" w:styleId="ListContinue3">
    <w:name w:val="List Continue 3"/>
    <w:basedOn w:val="List3"/>
    <w:rsid w:val="002E0DB2"/>
    <w:pPr>
      <w:ind w:left="1021" w:firstLine="0"/>
    </w:pPr>
  </w:style>
  <w:style w:type="paragraph" w:styleId="ListContinue4">
    <w:name w:val="List Continue 4"/>
    <w:basedOn w:val="List4"/>
    <w:rsid w:val="002E0DB2"/>
    <w:pPr>
      <w:ind w:firstLine="0"/>
    </w:pPr>
  </w:style>
  <w:style w:type="paragraph" w:styleId="ListContinue5">
    <w:name w:val="List Continue 5"/>
    <w:basedOn w:val="List5"/>
    <w:rsid w:val="002E0DB2"/>
    <w:pPr>
      <w:ind w:firstLine="0"/>
    </w:pPr>
  </w:style>
  <w:style w:type="paragraph" w:styleId="ListNumber3">
    <w:name w:val="List Number 3"/>
    <w:basedOn w:val="List3"/>
    <w:rsid w:val="002E0DB2"/>
    <w:pPr>
      <w:numPr>
        <w:numId w:val="5"/>
      </w:numPr>
    </w:pPr>
  </w:style>
  <w:style w:type="paragraph" w:styleId="ListNumber4">
    <w:name w:val="List Number 4"/>
    <w:basedOn w:val="List4"/>
    <w:rsid w:val="002E0DB2"/>
    <w:pPr>
      <w:numPr>
        <w:numId w:val="6"/>
      </w:numPr>
    </w:pPr>
  </w:style>
  <w:style w:type="paragraph" w:styleId="ListNumber5">
    <w:name w:val="List Number 5"/>
    <w:basedOn w:val="List5"/>
    <w:rsid w:val="002E0DB2"/>
    <w:pPr>
      <w:numPr>
        <w:numId w:val="7"/>
      </w:numPr>
    </w:pPr>
  </w:style>
  <w:style w:type="paragraph" w:styleId="BlockText">
    <w:name w:val="Block Text"/>
    <w:basedOn w:val="Normal"/>
    <w:rsid w:val="002E0DB2"/>
    <w:pPr>
      <w:spacing w:after="120"/>
      <w:ind w:left="1440" w:right="1440"/>
    </w:pPr>
  </w:style>
  <w:style w:type="character" w:customStyle="1" w:styleId="Subscript">
    <w:name w:val="Subscript"/>
    <w:basedOn w:val="DefaultParagraphFont"/>
    <w:rsid w:val="002E0DB2"/>
    <w:rPr>
      <w:sz w:val="16"/>
      <w:vertAlign w:val="subscript"/>
    </w:rPr>
  </w:style>
  <w:style w:type="character" w:customStyle="1" w:styleId="Superscript">
    <w:name w:val="Superscript"/>
    <w:basedOn w:val="DefaultParagraphFont"/>
    <w:rsid w:val="002E0DB2"/>
    <w:rPr>
      <w:sz w:val="16"/>
      <w:vertAlign w:val="superscript"/>
    </w:rPr>
  </w:style>
  <w:style w:type="character" w:customStyle="1" w:styleId="Symbols">
    <w:name w:val="Symbols"/>
    <w:basedOn w:val="DefaultParagraphFont"/>
    <w:rsid w:val="002E0DB2"/>
    <w:rPr>
      <w:rFonts w:ascii="Symbol" w:hAnsi="Symbol"/>
    </w:rPr>
  </w:style>
  <w:style w:type="character" w:customStyle="1" w:styleId="MenuOptions">
    <w:name w:val="Menu Options"/>
    <w:basedOn w:val="DefaultParagraphFont"/>
    <w:rsid w:val="002E0DB2"/>
    <w:rPr>
      <w:rFonts w:ascii="Arial Narrow" w:hAnsi="Arial Narrow"/>
      <w:smallCaps/>
    </w:rPr>
  </w:style>
  <w:style w:type="character" w:customStyle="1" w:styleId="Buttons">
    <w:name w:val="Buttons"/>
    <w:basedOn w:val="DefaultParagraphFont"/>
    <w:rsid w:val="002E0DB2"/>
    <w:rPr>
      <w:b/>
    </w:rPr>
  </w:style>
  <w:style w:type="character" w:customStyle="1" w:styleId="Underlined">
    <w:name w:val="Underlined"/>
    <w:basedOn w:val="DefaultParagraphFont"/>
    <w:rsid w:val="002E0DB2"/>
    <w:rPr>
      <w:u w:val="single"/>
    </w:rPr>
  </w:style>
  <w:style w:type="paragraph" w:customStyle="1" w:styleId="TableBodyTextRight">
    <w:name w:val="Table Body Text Right"/>
    <w:basedOn w:val="TableBodyText"/>
    <w:rsid w:val="002E0DB2"/>
    <w:pPr>
      <w:widowControl w:val="0"/>
      <w:autoSpaceDE w:val="0"/>
      <w:autoSpaceDN w:val="0"/>
      <w:adjustRightInd w:val="0"/>
      <w:jc w:val="right"/>
    </w:pPr>
    <w:rPr>
      <w:rFonts w:cs="Arial"/>
      <w:szCs w:val="18"/>
    </w:rPr>
  </w:style>
  <w:style w:type="paragraph" w:customStyle="1" w:styleId="CopyrightText">
    <w:name w:val="Copyright Text"/>
    <w:basedOn w:val="BodyText"/>
    <w:rsid w:val="002E0DB2"/>
    <w:rPr>
      <w:sz w:val="18"/>
    </w:rPr>
  </w:style>
  <w:style w:type="paragraph" w:customStyle="1" w:styleId="BodySmallRight">
    <w:name w:val="Body Small Right"/>
    <w:basedOn w:val="BodyTextRight"/>
    <w:rsid w:val="002E0DB2"/>
    <w:rPr>
      <w:sz w:val="18"/>
      <w:szCs w:val="18"/>
    </w:rPr>
  </w:style>
  <w:style w:type="paragraph" w:customStyle="1" w:styleId="MarginEdition">
    <w:name w:val="Margin Edition"/>
    <w:basedOn w:val="MarginNote"/>
    <w:rsid w:val="002E0DB2"/>
    <w:pPr>
      <w:spacing w:before="0" w:after="0"/>
    </w:pPr>
    <w:rPr>
      <w:rFonts w:ascii="Times New Roman" w:hAnsi="Times New Roman"/>
      <w:color w:val="999999"/>
    </w:rPr>
  </w:style>
  <w:style w:type="paragraph" w:customStyle="1" w:styleId="Spacer">
    <w:name w:val="Spacer"/>
    <w:basedOn w:val="Normal"/>
    <w:rsid w:val="002E0DB2"/>
    <w:rPr>
      <w:sz w:val="2"/>
      <w:szCs w:val="2"/>
    </w:rPr>
  </w:style>
  <w:style w:type="character" w:customStyle="1" w:styleId="Small">
    <w:name w:val="Small"/>
    <w:basedOn w:val="DefaultParagraphFont"/>
    <w:rsid w:val="002E0DB2"/>
    <w:rPr>
      <w:sz w:val="16"/>
    </w:rPr>
  </w:style>
  <w:style w:type="paragraph" w:customStyle="1" w:styleId="WideTable">
    <w:name w:val="Wide Table"/>
    <w:basedOn w:val="Normal"/>
    <w:rsid w:val="002E0DB2"/>
    <w:pPr>
      <w:ind w:left="-1418"/>
    </w:pPr>
    <w:rPr>
      <w:sz w:val="2"/>
      <w:szCs w:val="2"/>
    </w:rPr>
  </w:style>
  <w:style w:type="character" w:styleId="PageNumber">
    <w:name w:val="page number"/>
    <w:basedOn w:val="DefaultParagraphFont"/>
    <w:rsid w:val="002E0DB2"/>
  </w:style>
  <w:style w:type="paragraph" w:styleId="Quote">
    <w:name w:val="Quote"/>
    <w:basedOn w:val="Heading1"/>
    <w:link w:val="QuoteChar"/>
    <w:qFormat/>
    <w:rsid w:val="002E0DB2"/>
    <w:rPr>
      <w:b w:val="0"/>
      <w:sz w:val="72"/>
      <w:szCs w:val="72"/>
      <w:lang w:val="en-NZ"/>
    </w:rPr>
  </w:style>
  <w:style w:type="character" w:customStyle="1" w:styleId="QuoteChar">
    <w:name w:val="Quote Char"/>
    <w:basedOn w:val="DefaultParagraphFont"/>
    <w:link w:val="Quote"/>
    <w:rsid w:val="002E0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DB2"/>
    <w:pPr>
      <w:pageBreakBefore/>
    </w:pPr>
  </w:style>
  <w:style w:type="paragraph" w:customStyle="1" w:styleId="Border">
    <w:name w:val="Border"/>
    <w:basedOn w:val="Normal"/>
    <w:qFormat/>
    <w:rsid w:val="002E0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DB2"/>
    <w:rPr>
      <w:b/>
      <w:bCs/>
      <w:i/>
      <w:iCs/>
      <w:color w:val="auto"/>
    </w:rPr>
  </w:style>
  <w:style w:type="paragraph" w:styleId="IntenseQuote">
    <w:name w:val="Intense Quote"/>
    <w:basedOn w:val="Normal"/>
    <w:next w:val="Normal"/>
    <w:link w:val="IntenseQuoteChar"/>
    <w:uiPriority w:val="30"/>
    <w:qFormat/>
    <w:rsid w:val="002E0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DB2"/>
    <w:rPr>
      <w:smallCaps/>
      <w:color w:val="auto"/>
      <w:u w:val="single"/>
    </w:rPr>
  </w:style>
  <w:style w:type="character" w:styleId="IntenseReference">
    <w:name w:val="Intense Reference"/>
    <w:basedOn w:val="DefaultParagraphFont"/>
    <w:uiPriority w:val="32"/>
    <w:qFormat/>
    <w:rsid w:val="002E0DB2"/>
    <w:rPr>
      <w:b/>
      <w:bCs/>
      <w:smallCaps/>
      <w:color w:val="auto"/>
      <w:spacing w:val="5"/>
      <w:u w:val="single"/>
    </w:rPr>
  </w:style>
  <w:style w:type="paragraph" w:customStyle="1" w:styleId="2ColumnHeading">
    <w:name w:val="2Column Heading"/>
    <w:basedOn w:val="BodyText"/>
    <w:qFormat/>
    <w:rsid w:val="002E0DB2"/>
    <w:pPr>
      <w:spacing w:after="60"/>
      <w:ind w:left="-2268"/>
    </w:pPr>
    <w:rPr>
      <w:b/>
    </w:rPr>
  </w:style>
  <w:style w:type="paragraph" w:customStyle="1" w:styleId="Heading1TOC">
    <w:name w:val="Heading1 TOC"/>
    <w:basedOn w:val="Normal"/>
    <w:qFormat/>
    <w:rsid w:val="002E0DB2"/>
    <w:pPr>
      <w:spacing w:before="240" w:after="120"/>
    </w:pPr>
    <w:rPr>
      <w:rFonts w:ascii="Times New Roman" w:hAnsi="Times New Roman"/>
      <w:b/>
      <w:sz w:val="32"/>
    </w:rPr>
  </w:style>
  <w:style w:type="paragraph" w:customStyle="1" w:styleId="Heading2TOC">
    <w:name w:val="Heading2 TOC"/>
    <w:basedOn w:val="Normal"/>
    <w:qFormat/>
    <w:rsid w:val="002E0DB2"/>
    <w:pPr>
      <w:spacing w:before="240" w:after="60"/>
    </w:pPr>
    <w:rPr>
      <w:rFonts w:ascii="Times New Roman" w:hAnsi="Times New Roman"/>
      <w:b/>
      <w:sz w:val="28"/>
    </w:rPr>
  </w:style>
  <w:style w:type="character" w:customStyle="1" w:styleId="Underline">
    <w:name w:val="Underline"/>
    <w:basedOn w:val="DefaultParagraphFont"/>
    <w:qFormat/>
    <w:rsid w:val="002E0DB2"/>
    <w:rPr>
      <w:u w:val="single"/>
    </w:rPr>
  </w:style>
  <w:style w:type="paragraph" w:styleId="BalloonText">
    <w:name w:val="Balloon Text"/>
    <w:basedOn w:val="Normal"/>
    <w:link w:val="BalloonTextChar"/>
    <w:rsid w:val="002E0DB2"/>
    <w:rPr>
      <w:rFonts w:ascii="Tahoma" w:hAnsi="Tahoma" w:cs="Tahoma"/>
      <w:sz w:val="16"/>
      <w:szCs w:val="16"/>
    </w:rPr>
  </w:style>
  <w:style w:type="character" w:customStyle="1" w:styleId="BalloonTextChar">
    <w:name w:val="Balloon Text Char"/>
    <w:basedOn w:val="DefaultParagraphFont"/>
    <w:link w:val="BalloonText"/>
    <w:rsid w:val="002E0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DB2"/>
    <w:rPr>
      <w:b/>
      <w:color w:val="660033"/>
      <w:spacing w:val="0"/>
    </w:rPr>
  </w:style>
  <w:style w:type="paragraph" w:customStyle="1" w:styleId="Nameditemlist">
    <w:name w:val="Named item list"/>
    <w:basedOn w:val="BodyText"/>
    <w:qFormat/>
    <w:rsid w:val="002E0DB2"/>
    <w:pPr>
      <w:tabs>
        <w:tab w:val="left" w:pos="2835"/>
      </w:tabs>
      <w:ind w:left="2835" w:hanging="2835"/>
    </w:pPr>
  </w:style>
  <w:style w:type="paragraph" w:customStyle="1" w:styleId="BodyTextnopadding">
    <w:name w:val="Body Text no padding"/>
    <w:basedOn w:val="BodyText"/>
    <w:qFormat/>
    <w:rsid w:val="002E0DB2"/>
    <w:pPr>
      <w:spacing w:before="0" w:after="0"/>
    </w:pPr>
  </w:style>
  <w:style w:type="paragraph" w:customStyle="1" w:styleId="BodyTextBold">
    <w:name w:val="Body Text Bold"/>
    <w:basedOn w:val="BodyText"/>
    <w:qFormat/>
    <w:rsid w:val="002E0DB2"/>
    <w:rPr>
      <w:b/>
    </w:rPr>
  </w:style>
  <w:style w:type="character" w:styleId="Hyperlink">
    <w:name w:val="Hyperlink"/>
    <w:basedOn w:val="DefaultParagraphFont"/>
    <w:uiPriority w:val="99"/>
    <w:unhideWhenUsed/>
    <w:rsid w:val="00822C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6308</Characters>
  <Application>Microsoft Office Word</Application>
  <DocSecurity>0</DocSecurity>
  <Lines>262</Lines>
  <Paragraphs>158</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CPCCSG3003 Colour manage signs</dc:title>
  <dc:subject>Approved</dc:subject>
  <dc:creator>BuildSkills Australia</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