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3B8" w:rsidP="00914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CPCCSF2004 Place and fix reinforcement materials</w:t>
      </w:r>
      <w:r>
        <w:fldChar w:fldCharType="end"/>
      </w:r>
    </w:p>
    <w:p w:rsidR="009143B8" w:rsidP="009143B8">
      <w:pPr>
        <w:pStyle w:val="Version"/>
        <w:sectPr w:rsidSect="002E4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A0D" w:rsidP="002E4A0D">
      <w:pPr>
        <w:pStyle w:val="SuperHeading"/>
      </w:pPr>
      <w:r w:rsidRPr="002E4A0D">
        <w:t>Assessment Requirements for CPCCSF2004 Place and fix reinforcement materials</w:t>
      </w:r>
    </w:p>
    <w:p w:rsidR="00000000" w:rsidRPr="002E4A0D" w:rsidP="002E4A0D">
      <w:pPr>
        <w:pStyle w:val="Heading1"/>
      </w:pPr>
      <w:bookmarkStart w:id="1" w:name="O_1014186"/>
      <w:bookmarkEnd w:id="1"/>
      <w:r w:rsidRPr="002E4A0D">
        <w:t>Modification History</w:t>
      </w:r>
    </w:p>
    <w:p w:rsidR="00000000" w:rsidRPr="002E4A0D" w:rsidP="009143B8">
      <w:r w:rsidRPr="002E4A0D">
        <w:t>Release 1.</w:t>
      </w:r>
    </w:p>
    <w:p w:rsidR="00000000" w:rsidRPr="002E4A0D" w:rsidP="009143B8">
      <w:r w:rsidRPr="002E4A0D">
        <w:t>Supersedes and equivalent to CPCCSF2004A Place and fix reinforcement materials.</w:t>
      </w:r>
    </w:p>
    <w:p w:rsidR="00000000" w:rsidRPr="002E4A0D" w:rsidP="009143B8">
      <w:r w:rsidRPr="002E4A0D">
        <w:t>The unit of competency was updated to the Standards for Training Packages 2012.</w:t>
      </w:r>
    </w:p>
    <w:p w:rsidR="00000000" w:rsidRPr="002E4A0D" w:rsidP="009143B8">
      <w:pPr>
        <w:pStyle w:val="BodyText"/>
      </w:pPr>
      <w:r w:rsidRPr="002E4A0D">
        <w:t>This version first released with CPC Construction, Plumbing and Services Training Package Version 4.0.</w:t>
      </w:r>
    </w:p>
    <w:p w:rsidR="00000000" w:rsidRPr="002E4A0D" w:rsidP="002E4A0D">
      <w:pPr>
        <w:pStyle w:val="Heading1"/>
      </w:pPr>
      <w:bookmarkStart w:id="2" w:name="O_1014189"/>
      <w:bookmarkEnd w:id="2"/>
      <w:r w:rsidRPr="002E4A0D">
        <w:t>Performance Evidence</w:t>
      </w:r>
    </w:p>
    <w:p w:rsidR="00000000" w:rsidRPr="002E4A0D" w:rsidP="009143B8">
      <w:pPr>
        <w:pStyle w:val="BodyText"/>
      </w:pPr>
      <w:r w:rsidRPr="002E4A0D">
        <w:t>To demonstrate competency in this</w:t>
      </w:r>
      <w:r w:rsidRPr="002E4A0D">
        <w:t xml:space="preserve"> unit, a person must place and fix reinforcement materials on a minimum of three different jobs, each including deformed bars, rods and mesh sheets.</w:t>
      </w:r>
    </w:p>
    <w:p w:rsidR="00000000" w:rsidRPr="002E4A0D" w:rsidP="009143B8">
      <w:pPr>
        <w:pStyle w:val="BodyText"/>
      </w:pPr>
      <w:r w:rsidRPr="002E4A0D">
        <w:t>In doing this, the person must meet the performance criteria for this unit.</w:t>
      </w:r>
    </w:p>
    <w:p w:rsidR="00000000" w:rsidRPr="002E4A0D" w:rsidP="002E4A0D">
      <w:pPr>
        <w:pStyle w:val="Heading1"/>
      </w:pPr>
      <w:bookmarkStart w:id="3" w:name="O_1014188"/>
      <w:bookmarkEnd w:id="3"/>
      <w:r w:rsidRPr="002E4A0D">
        <w:t>Knowledge Ev</w:t>
      </w:r>
      <w:r w:rsidRPr="002E4A0D">
        <w:t>idence</w:t>
      </w:r>
    </w:p>
    <w:p w:rsidR="00000000" w:rsidRPr="002E4A0D" w:rsidP="009143B8">
      <w:pPr>
        <w:pStyle w:val="BodyText"/>
      </w:pPr>
      <w:r w:rsidRPr="002E4A0D">
        <w:t xml:space="preserve">To be competent in this unit, a person must demonstrate knowledge of: </w:t>
      </w:r>
    </w:p>
    <w:p w:rsidR="00000000" w:rsidRPr="002E4A0D" w:rsidP="002E4A0D">
      <w:pPr>
        <w:pStyle w:val="ListBullet"/>
      </w:pPr>
      <w:r w:rsidRPr="002E4A0D">
        <w:t>jurisdictional work health and safety (WHS) and environmental legislation and regulations relating to placing and fixing reinforcement materials, including:</w:t>
      </w:r>
    </w:p>
    <w:p w:rsidR="00000000" w:rsidRPr="002E4A0D" w:rsidP="002E4A0D">
      <w:pPr>
        <w:pStyle w:val="ListBullet2"/>
      </w:pPr>
      <w:r w:rsidRPr="002E4A0D">
        <w:t>job safety analyses</w:t>
      </w:r>
      <w:r w:rsidRPr="002E4A0D">
        <w:t xml:space="preserve"> (JSAs) </w:t>
      </w:r>
    </w:p>
    <w:p w:rsidR="00000000" w:rsidRPr="002E4A0D" w:rsidP="002E4A0D">
      <w:pPr>
        <w:pStyle w:val="ListBullet2"/>
      </w:pPr>
      <w:r w:rsidRPr="002E4A0D">
        <w:t>safe work method statements (SWMSs)</w:t>
      </w:r>
    </w:p>
    <w:p w:rsidR="00000000" w:rsidRPr="002E4A0D" w:rsidP="002E4A0D">
      <w:pPr>
        <w:pStyle w:val="ListBullet2"/>
      </w:pPr>
      <w:r w:rsidRPr="002E4A0D">
        <w:t>safety data sheets (SDSs)</w:t>
      </w:r>
    </w:p>
    <w:p w:rsidR="00000000" w:rsidRPr="002E4A0D" w:rsidP="002E4A0D">
      <w:pPr>
        <w:pStyle w:val="ListBullet2"/>
      </w:pPr>
      <w:r w:rsidRPr="002E4A0D">
        <w:t>safety manuals and instructions for plant, tools and equipment</w:t>
      </w:r>
    </w:p>
    <w:p w:rsidR="00000000" w:rsidRPr="002E4A0D" w:rsidP="002E4A0D">
      <w:pPr>
        <w:pStyle w:val="ListBullet2"/>
      </w:pPr>
      <w:r w:rsidRPr="002E4A0D">
        <w:t>signage and barricades</w:t>
      </w:r>
    </w:p>
    <w:p w:rsidR="00000000" w:rsidRPr="002E4A0D" w:rsidP="002E4A0D">
      <w:pPr>
        <w:pStyle w:val="ListBullet2"/>
      </w:pPr>
      <w:r w:rsidRPr="002E4A0D">
        <w:t>personal protective equipment (PPE)</w:t>
      </w:r>
    </w:p>
    <w:p w:rsidR="00000000" w:rsidRPr="002E4A0D" w:rsidP="002E4A0D">
      <w:pPr>
        <w:pStyle w:val="ListBullet2"/>
      </w:pPr>
      <w:r w:rsidRPr="002E4A0D">
        <w:t>environmental and work site safety plans</w:t>
      </w:r>
    </w:p>
    <w:p w:rsidR="00000000" w:rsidRPr="002E4A0D" w:rsidP="002E4A0D">
      <w:pPr>
        <w:pStyle w:val="ListBullet"/>
      </w:pPr>
      <w:r w:rsidRPr="002E4A0D">
        <w:t>requirements of Australian Standards and the National Construction Code (NCC) relating to placing and fixing reinforcement materials</w:t>
      </w:r>
    </w:p>
    <w:p w:rsidR="00000000" w:rsidRPr="002E4A0D" w:rsidP="002E4A0D">
      <w:pPr>
        <w:pStyle w:val="ListBullet"/>
      </w:pPr>
      <w:r w:rsidRPr="002E4A0D">
        <w:t>workplace requirements for all aspects of placing and fixing reinforcement materials, including interpreting work orders an</w:t>
      </w:r>
      <w:r w:rsidRPr="002E4A0D">
        <w:t>d reporting problems</w:t>
      </w:r>
    </w:p>
    <w:p w:rsidR="00000000" w:rsidRPr="002E4A0D" w:rsidP="002E4A0D">
      <w:pPr>
        <w:pStyle w:val="ListBullet"/>
      </w:pPr>
      <w:r w:rsidRPr="002E4A0D">
        <w:t>reinforcement materials, including:</w:t>
      </w:r>
    </w:p>
    <w:p w:rsidR="00000000" w:rsidRPr="002E4A0D" w:rsidP="002E4A0D">
      <w:pPr>
        <w:pStyle w:val="ListBullet2"/>
      </w:pPr>
      <w:r w:rsidRPr="002E4A0D">
        <w:t>bar chairs</w:t>
      </w:r>
    </w:p>
    <w:p w:rsidR="00000000" w:rsidRPr="002E4A0D" w:rsidP="002E4A0D">
      <w:pPr>
        <w:pStyle w:val="ListBullet2"/>
      </w:pPr>
      <w:r w:rsidRPr="002E4A0D">
        <w:t>deformed bars</w:t>
      </w:r>
    </w:p>
    <w:p w:rsidR="00000000" w:rsidRPr="002E4A0D" w:rsidP="002E4A0D">
      <w:pPr>
        <w:pStyle w:val="ListBullet2"/>
      </w:pPr>
      <w:r w:rsidRPr="002E4A0D">
        <w:t>ligatures</w:t>
      </w:r>
    </w:p>
    <w:p w:rsidR="00000000" w:rsidRPr="002E4A0D" w:rsidP="002E4A0D">
      <w:pPr>
        <w:pStyle w:val="ListBullet2"/>
      </w:pPr>
      <w:r w:rsidRPr="002E4A0D">
        <w:t>mesh sheets of deformed bars</w:t>
      </w:r>
    </w:p>
    <w:p w:rsidR="00000000" w:rsidRPr="002E4A0D" w:rsidP="002E4A0D">
      <w:pPr>
        <w:pStyle w:val="ListBullet2"/>
      </w:pPr>
      <w:r w:rsidRPr="002E4A0D">
        <w:t>mesh sheets of plain bars</w:t>
      </w:r>
    </w:p>
    <w:p w:rsidR="00000000" w:rsidRPr="002E4A0D" w:rsidP="002E4A0D">
      <w:pPr>
        <w:pStyle w:val="ListBullet2"/>
      </w:pPr>
      <w:r w:rsidRPr="002E4A0D">
        <w:t>plain rods</w:t>
      </w:r>
    </w:p>
    <w:p w:rsidR="00000000" w:rsidRPr="002E4A0D" w:rsidP="002E4A0D">
      <w:pPr>
        <w:pStyle w:val="ListBullet2"/>
      </w:pPr>
      <w:r w:rsidRPr="002E4A0D">
        <w:t>spacer/spreader assemblies</w:t>
      </w:r>
    </w:p>
    <w:p w:rsidR="00000000" w:rsidRPr="002E4A0D" w:rsidP="002E4A0D">
      <w:pPr>
        <w:pStyle w:val="ListBullet2"/>
      </w:pPr>
      <w:r w:rsidRPr="002E4A0D">
        <w:t>wire ties</w:t>
      </w:r>
    </w:p>
    <w:p w:rsidR="00000000" w:rsidRPr="002E4A0D" w:rsidP="002E4A0D">
      <w:pPr>
        <w:pStyle w:val="ListBullet"/>
      </w:pPr>
      <w:r w:rsidRPr="002E4A0D">
        <w:t>uses, care and limitations of tools and equipment for placing and fixing reinforcement materials, including:</w:t>
      </w:r>
    </w:p>
    <w:p w:rsidR="00000000" w:rsidRPr="002E4A0D" w:rsidP="002E4A0D">
      <w:pPr>
        <w:pStyle w:val="ListBullet2"/>
      </w:pPr>
      <w:r w:rsidRPr="002E4A0D">
        <w:t>bolt cutters</w:t>
      </w:r>
    </w:p>
    <w:p w:rsidR="00000000" w:rsidRPr="002E4A0D" w:rsidP="002E4A0D">
      <w:pPr>
        <w:pStyle w:val="ListBullet2"/>
      </w:pPr>
      <w:r w:rsidRPr="002E4A0D">
        <w:t>measuring tapes and rules</w:t>
      </w:r>
    </w:p>
    <w:p w:rsidR="00000000" w:rsidRPr="002E4A0D" w:rsidP="002E4A0D">
      <w:pPr>
        <w:pStyle w:val="ListBullet2"/>
      </w:pPr>
      <w:r w:rsidRPr="002E4A0D">
        <w:t>mesh guillotines</w:t>
      </w:r>
    </w:p>
    <w:p w:rsidR="00000000" w:rsidRPr="002E4A0D" w:rsidP="002E4A0D">
      <w:pPr>
        <w:pStyle w:val="ListBullet2"/>
      </w:pPr>
      <w:r w:rsidRPr="002E4A0D">
        <w:t>reinforcement benders</w:t>
      </w:r>
    </w:p>
    <w:p w:rsidR="00000000" w:rsidRPr="002E4A0D" w:rsidP="002E4A0D">
      <w:pPr>
        <w:pStyle w:val="ListBullet2"/>
      </w:pPr>
      <w:r w:rsidRPr="002E4A0D">
        <w:t>tie wire reels</w:t>
      </w:r>
    </w:p>
    <w:p w:rsidR="00000000" w:rsidRPr="002E4A0D" w:rsidP="002E4A0D">
      <w:pPr>
        <w:pStyle w:val="ListBullet2"/>
      </w:pPr>
      <w:r w:rsidRPr="002E4A0D">
        <w:t>wire nippers</w:t>
      </w:r>
    </w:p>
    <w:p w:rsidR="00000000" w:rsidRPr="002E4A0D" w:rsidP="002E4A0D">
      <w:pPr>
        <w:pStyle w:val="ListBullet"/>
      </w:pPr>
      <w:r w:rsidRPr="002E4A0D">
        <w:t>types, characteristics, uses and limita</w:t>
      </w:r>
      <w:r w:rsidRPr="002E4A0D">
        <w:t>tions of tools, equipment and materials required for placing and fixing reinforcement materials, including:</w:t>
      </w:r>
    </w:p>
    <w:p w:rsidR="00000000" w:rsidRPr="002E4A0D" w:rsidP="002E4A0D">
      <w:pPr>
        <w:pStyle w:val="ListBullet2"/>
      </w:pPr>
      <w:r w:rsidRPr="002E4A0D">
        <w:t>safe operating procedures</w:t>
      </w:r>
    </w:p>
    <w:p w:rsidR="00000000" w:rsidRPr="002E4A0D" w:rsidP="002E4A0D">
      <w:pPr>
        <w:pStyle w:val="ListBullet2"/>
      </w:pPr>
      <w:r w:rsidRPr="002E4A0D">
        <w:t>operational, maintenance and basic diagnostic procedures</w:t>
      </w:r>
    </w:p>
    <w:p w:rsidR="00000000" w:rsidRPr="002E4A0D" w:rsidP="002E4A0D">
      <w:pPr>
        <w:pStyle w:val="ListBullet2"/>
      </w:pPr>
      <w:r w:rsidRPr="002E4A0D">
        <w:t>workplace and equipment safety requirements</w:t>
      </w:r>
    </w:p>
    <w:p w:rsidR="00000000" w:rsidRPr="002E4A0D" w:rsidP="002E4A0D">
      <w:pPr>
        <w:pStyle w:val="ListBullet"/>
      </w:pPr>
      <w:r w:rsidRPr="002E4A0D">
        <w:t>techniques for placing and fixing reinforcement materials</w:t>
      </w:r>
    </w:p>
    <w:p w:rsidR="00000000" w:rsidRPr="002E4A0D" w:rsidP="002E4A0D">
      <w:pPr>
        <w:pStyle w:val="ListBullet"/>
      </w:pPr>
      <w:r w:rsidRPr="002E4A0D">
        <w:t>quality requirements relevant to placing and fixing reinforcement materials</w:t>
      </w:r>
    </w:p>
    <w:p w:rsidR="00000000" w:rsidRPr="002E4A0D" w:rsidP="002E4A0D">
      <w:pPr>
        <w:pStyle w:val="ListBullet"/>
      </w:pPr>
      <w:r w:rsidRPr="002E4A0D">
        <w:t>processes, materials and equipment for placing and fixing reinforcement materials</w:t>
      </w:r>
    </w:p>
    <w:p w:rsidR="00000000" w:rsidRPr="002E4A0D" w:rsidP="002E4A0D">
      <w:pPr>
        <w:pStyle w:val="ListBullet"/>
      </w:pPr>
      <w:r w:rsidRPr="002E4A0D">
        <w:t xml:space="preserve">types and applications of reinforcement </w:t>
      </w:r>
      <w:r w:rsidRPr="002E4A0D">
        <w:t>materials</w:t>
      </w:r>
    </w:p>
    <w:p w:rsidR="00000000" w:rsidRPr="002E4A0D" w:rsidP="002E4A0D">
      <w:pPr>
        <w:pStyle w:val="ListBullet"/>
      </w:pPr>
      <w:r w:rsidRPr="002E4A0D">
        <w:t>requirements for cleaning up work area and tools, materials storage and environmentally friendly waste management.</w:t>
      </w:r>
    </w:p>
    <w:p w:rsidR="00000000" w:rsidRPr="002E4A0D" w:rsidP="002E4A0D">
      <w:pPr>
        <w:pStyle w:val="AllowPageBreak"/>
      </w:pPr>
    </w:p>
    <w:p w:rsidR="00000000" w:rsidRPr="002E4A0D" w:rsidP="002E4A0D">
      <w:pPr>
        <w:pStyle w:val="Heading1"/>
      </w:pPr>
      <w:bookmarkStart w:id="4" w:name="O_1014187"/>
      <w:bookmarkEnd w:id="4"/>
      <w:r w:rsidRPr="002E4A0D">
        <w:t>Assessment Conditions</w:t>
      </w:r>
    </w:p>
    <w:p w:rsidR="00000000" w:rsidRPr="002E4A0D" w:rsidP="009143B8">
      <w:pPr>
        <w:pStyle w:val="BodyText"/>
      </w:pPr>
      <w:r w:rsidRPr="002E4A0D">
        <w:t>Assessors must satisfy the requirements for assessors contained in the Standards for Regis</w:t>
      </w:r>
      <w:r w:rsidRPr="002E4A0D">
        <w:t xml:space="preserve">tered Training Organisations. </w:t>
      </w:r>
    </w:p>
    <w:p w:rsidR="00000000" w:rsidRPr="002E4A0D" w:rsidP="009143B8">
      <w:pPr>
        <w:pStyle w:val="BodyText"/>
      </w:pPr>
      <w:r w:rsidRPr="002E4A0D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2E4A0D" w:rsidP="009143B8">
      <w:pPr>
        <w:pStyle w:val="BodyText"/>
      </w:pPr>
      <w:r w:rsidRPr="002E4A0D">
        <w:t>Assessors are r</w:t>
      </w:r>
      <w:r w:rsidRPr="002E4A0D">
        <w:t>esponsible for ensuring that the person demonstrating competency has access to:</w:t>
      </w:r>
    </w:p>
    <w:p w:rsidR="00000000" w:rsidRPr="002E4A0D" w:rsidP="002E4A0D">
      <w:pPr>
        <w:pStyle w:val="ListBullet"/>
      </w:pPr>
      <w:r w:rsidRPr="002E4A0D">
        <w:t>work sites and specifications for placing and fixing reinforcement materials</w:t>
      </w:r>
    </w:p>
    <w:p w:rsidR="00000000" w:rsidRPr="002E4A0D" w:rsidP="002E4A0D">
      <w:pPr>
        <w:pStyle w:val="ListBullet"/>
      </w:pPr>
      <w:r w:rsidRPr="002E4A0D">
        <w:t>appropriate documents, materials, tools, equipment and PPE currently used in industry</w:t>
      </w:r>
    </w:p>
    <w:p w:rsidR="00000000" w:rsidRPr="002E4A0D" w:rsidP="002E4A0D">
      <w:pPr>
        <w:pStyle w:val="ListBullet"/>
      </w:pPr>
      <w:r w:rsidRPr="002E4A0D">
        <w:t>requirements of appropriate sections of legislation and regulations</w:t>
      </w:r>
    </w:p>
    <w:p w:rsidR="00000000" w:rsidRPr="002E4A0D" w:rsidP="002E4A0D">
      <w:pPr>
        <w:pStyle w:val="ListBullet"/>
      </w:pPr>
      <w:r w:rsidRPr="002E4A0D">
        <w:t>relevant workplace policies and procedures.</w:t>
      </w:r>
    </w:p>
    <w:p w:rsidR="00000000" w:rsidRPr="002E4A0D" w:rsidP="002E4A0D">
      <w:pPr>
        <w:pStyle w:val="AllowPageBreak"/>
      </w:pPr>
    </w:p>
    <w:p w:rsidR="00000000" w:rsidRPr="002E4A0D" w:rsidP="002E4A0D">
      <w:pPr>
        <w:pStyle w:val="Heading1"/>
      </w:pPr>
      <w:bookmarkStart w:id="5" w:name="O_1014185"/>
      <w:bookmarkEnd w:id="5"/>
      <w:r w:rsidRPr="002E4A0D">
        <w:t>Links</w:t>
      </w:r>
    </w:p>
    <w:p w:rsidR="00000000" w:rsidRPr="002E4A0D" w:rsidP="009143B8">
      <w:pPr>
        <w:pStyle w:val="BodyText"/>
      </w:pPr>
      <w:r w:rsidRPr="002E4A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476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E4A0D" w:rsidP="002E4A0D"/>
    <w:sectPr w:rsidSect="002E4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0D" w:rsidRPr="009143B8" w:rsidP="00914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B8" w:rsidP="002E4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3B8" w:rsidP="002E4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43B8" w:rsidP="002E4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A0D" w:rsidRPr="009143B8" w:rsidP="00914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B8" w:rsidRPr="002D2AF8" w:rsidP="002E4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CPCCSF2004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143B8" w:rsidP="002E4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2B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3E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D4C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A0D"/>
  </w:style>
  <w:style w:type="character" w:customStyle="1" w:styleId="Heading1Char">
    <w:name w:val="Heading 1 Char"/>
    <w:basedOn w:val="DefaultParagraphFont"/>
    <w:link w:val="Heading1"/>
    <w:rsid w:val="002E4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A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4A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A0D"/>
    <w:rPr>
      <w:b/>
      <w:spacing w:val="0"/>
    </w:rPr>
  </w:style>
  <w:style w:type="paragraph" w:customStyle="1" w:styleId="SuperTitle">
    <w:name w:val="SuperTitle"/>
    <w:basedOn w:val="Title"/>
    <w:rsid w:val="002E4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A0D"/>
    <w:rPr>
      <w:i/>
    </w:rPr>
  </w:style>
  <w:style w:type="paragraph" w:styleId="Caption">
    <w:name w:val="caption"/>
    <w:basedOn w:val="BodyText"/>
    <w:next w:val="Normal"/>
    <w:qFormat/>
    <w:rsid w:val="002E4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A0D"/>
  </w:style>
  <w:style w:type="paragraph" w:styleId="TableofFigures">
    <w:name w:val="table of figures"/>
    <w:basedOn w:val="Normal"/>
    <w:next w:val="Normal"/>
    <w:semiHidden/>
    <w:rsid w:val="002E4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A0D"/>
    <w:rPr>
      <w:rFonts w:ascii="Wingdings" w:hAnsi="Wingdings"/>
    </w:rPr>
  </w:style>
  <w:style w:type="paragraph" w:customStyle="1" w:styleId="TableHeading">
    <w:name w:val="Table Heading"/>
    <w:basedOn w:val="HeadingBase"/>
    <w:rsid w:val="002E4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A0D"/>
    <w:rPr>
      <w:color w:val="0033CC"/>
      <w:u w:val="none"/>
    </w:rPr>
  </w:style>
  <w:style w:type="paragraph" w:customStyle="1" w:styleId="BodyTextRight">
    <w:name w:val="Body Text Right"/>
    <w:basedOn w:val="BodyText"/>
    <w:rsid w:val="002E4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A0D"/>
    <w:rPr>
      <w:sz w:val="32"/>
    </w:rPr>
  </w:style>
  <w:style w:type="paragraph" w:customStyle="1" w:styleId="HeadingProcedure">
    <w:name w:val="Heading Procedure"/>
    <w:basedOn w:val="HeadingBase"/>
    <w:next w:val="Normal"/>
    <w:rsid w:val="002E4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A0D"/>
    <w:pPr>
      <w:spacing w:before="60" w:after="60"/>
    </w:pPr>
  </w:style>
  <w:style w:type="paragraph" w:styleId="ListContinue">
    <w:name w:val="List Continue"/>
    <w:basedOn w:val="List"/>
    <w:rsid w:val="002E4A0D"/>
    <w:pPr>
      <w:ind w:firstLine="0"/>
    </w:pPr>
  </w:style>
  <w:style w:type="paragraph" w:customStyle="1" w:styleId="ListNote">
    <w:name w:val="List Note"/>
    <w:basedOn w:val="List"/>
    <w:rsid w:val="002E4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A0D"/>
    <w:rPr>
      <w:rFonts w:ascii="Courier New" w:hAnsi="Courier New"/>
    </w:rPr>
  </w:style>
  <w:style w:type="paragraph" w:customStyle="1" w:styleId="NoteBullet">
    <w:name w:val="Note Bullet"/>
    <w:basedOn w:val="Note"/>
    <w:rsid w:val="002E4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A0D"/>
    <w:rPr>
      <w:b/>
      <w:smallCaps/>
    </w:rPr>
  </w:style>
  <w:style w:type="paragraph" w:customStyle="1" w:styleId="TableListNumber">
    <w:name w:val="Table List Number"/>
    <w:basedOn w:val="ListNumber"/>
    <w:rsid w:val="002E4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A0D"/>
    <w:pPr>
      <w:numPr>
        <w:numId w:val="9"/>
      </w:numPr>
    </w:pPr>
  </w:style>
  <w:style w:type="paragraph" w:customStyle="1" w:styleId="ListAlpha2">
    <w:name w:val="List Alpha 2"/>
    <w:basedOn w:val="List2"/>
    <w:rsid w:val="002E4A0D"/>
    <w:pPr>
      <w:numPr>
        <w:numId w:val="8"/>
      </w:numPr>
    </w:pPr>
  </w:style>
  <w:style w:type="paragraph" w:styleId="List2">
    <w:name w:val="List 2"/>
    <w:basedOn w:val="BodyText"/>
    <w:rsid w:val="002E4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A0D"/>
    <w:pPr>
      <w:numPr>
        <w:numId w:val="4"/>
      </w:numPr>
    </w:pPr>
  </w:style>
  <w:style w:type="paragraph" w:styleId="ListContinue2">
    <w:name w:val="List Continue 2"/>
    <w:basedOn w:val="List2"/>
    <w:rsid w:val="002E4A0D"/>
    <w:pPr>
      <w:ind w:firstLine="0"/>
    </w:pPr>
  </w:style>
  <w:style w:type="paragraph" w:styleId="ListContinue3">
    <w:name w:val="List Continue 3"/>
    <w:basedOn w:val="List3"/>
    <w:rsid w:val="002E4A0D"/>
    <w:pPr>
      <w:ind w:left="1021" w:firstLine="0"/>
    </w:pPr>
  </w:style>
  <w:style w:type="paragraph" w:styleId="ListContinue4">
    <w:name w:val="List Continue 4"/>
    <w:basedOn w:val="List4"/>
    <w:rsid w:val="002E4A0D"/>
    <w:pPr>
      <w:ind w:firstLine="0"/>
    </w:pPr>
  </w:style>
  <w:style w:type="paragraph" w:styleId="ListContinue5">
    <w:name w:val="List Continue 5"/>
    <w:basedOn w:val="List5"/>
    <w:rsid w:val="002E4A0D"/>
    <w:pPr>
      <w:ind w:firstLine="0"/>
    </w:pPr>
  </w:style>
  <w:style w:type="paragraph" w:styleId="ListNumber3">
    <w:name w:val="List Number 3"/>
    <w:basedOn w:val="List3"/>
    <w:rsid w:val="002E4A0D"/>
    <w:pPr>
      <w:numPr>
        <w:numId w:val="5"/>
      </w:numPr>
    </w:pPr>
  </w:style>
  <w:style w:type="paragraph" w:styleId="ListNumber4">
    <w:name w:val="List Number 4"/>
    <w:basedOn w:val="List4"/>
    <w:rsid w:val="002E4A0D"/>
    <w:pPr>
      <w:numPr>
        <w:numId w:val="6"/>
      </w:numPr>
    </w:pPr>
  </w:style>
  <w:style w:type="paragraph" w:styleId="ListNumber5">
    <w:name w:val="List Number 5"/>
    <w:basedOn w:val="List5"/>
    <w:rsid w:val="002E4A0D"/>
    <w:pPr>
      <w:numPr>
        <w:numId w:val="7"/>
      </w:numPr>
    </w:pPr>
  </w:style>
  <w:style w:type="paragraph" w:styleId="BlockText">
    <w:name w:val="Block Text"/>
    <w:basedOn w:val="Normal"/>
    <w:rsid w:val="002E4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A0D"/>
    <w:rPr>
      <w:sz w:val="16"/>
      <w:vertAlign w:val="superscript"/>
    </w:rPr>
  </w:style>
  <w:style w:type="character" w:customStyle="1" w:styleId="Symbols">
    <w:name w:val="Symbols"/>
    <w:basedOn w:val="DefaultParagraphFont"/>
    <w:rsid w:val="002E4A0D"/>
    <w:rPr>
      <w:rFonts w:ascii="Symbol" w:hAnsi="Symbol"/>
    </w:rPr>
  </w:style>
  <w:style w:type="character" w:customStyle="1" w:styleId="MenuOptions">
    <w:name w:val="Menu Options"/>
    <w:basedOn w:val="DefaultParagraphFont"/>
    <w:rsid w:val="002E4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A0D"/>
    <w:rPr>
      <w:b/>
    </w:rPr>
  </w:style>
  <w:style w:type="character" w:customStyle="1" w:styleId="Underlined">
    <w:name w:val="Underlined"/>
    <w:basedOn w:val="DefaultParagraphFont"/>
    <w:rsid w:val="002E4A0D"/>
    <w:rPr>
      <w:u w:val="single"/>
    </w:rPr>
  </w:style>
  <w:style w:type="paragraph" w:customStyle="1" w:styleId="TableBodyTextRight">
    <w:name w:val="Table Body Text Right"/>
    <w:basedOn w:val="TableBodyText"/>
    <w:rsid w:val="002E4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A0D"/>
    <w:rPr>
      <w:sz w:val="18"/>
    </w:rPr>
  </w:style>
  <w:style w:type="paragraph" w:customStyle="1" w:styleId="BodySmallRight">
    <w:name w:val="Body Small Right"/>
    <w:basedOn w:val="BodyTextRight"/>
    <w:rsid w:val="002E4A0D"/>
    <w:rPr>
      <w:sz w:val="18"/>
      <w:szCs w:val="18"/>
    </w:rPr>
  </w:style>
  <w:style w:type="paragraph" w:customStyle="1" w:styleId="MarginEdition">
    <w:name w:val="Margin Edition"/>
    <w:basedOn w:val="MarginNote"/>
    <w:rsid w:val="002E4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A0D"/>
    <w:rPr>
      <w:sz w:val="2"/>
      <w:szCs w:val="2"/>
    </w:rPr>
  </w:style>
  <w:style w:type="character" w:customStyle="1" w:styleId="Small">
    <w:name w:val="Small"/>
    <w:basedOn w:val="DefaultParagraphFont"/>
    <w:rsid w:val="002E4A0D"/>
    <w:rPr>
      <w:sz w:val="16"/>
    </w:rPr>
  </w:style>
  <w:style w:type="paragraph" w:customStyle="1" w:styleId="WideTable">
    <w:name w:val="Wide Table"/>
    <w:basedOn w:val="Normal"/>
    <w:rsid w:val="002E4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A0D"/>
  </w:style>
  <w:style w:type="paragraph" w:styleId="Quote">
    <w:name w:val="Quote"/>
    <w:basedOn w:val="Heading1"/>
    <w:link w:val="QuoteChar"/>
    <w:qFormat/>
    <w:rsid w:val="002E4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A0D"/>
    <w:pPr>
      <w:pageBreakBefore/>
    </w:pPr>
  </w:style>
  <w:style w:type="paragraph" w:customStyle="1" w:styleId="Border">
    <w:name w:val="Border"/>
    <w:basedOn w:val="Normal"/>
    <w:qFormat/>
    <w:rsid w:val="002E4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A0D"/>
    <w:rPr>
      <w:u w:val="single"/>
    </w:rPr>
  </w:style>
  <w:style w:type="character" w:customStyle="1" w:styleId="BoldandItalics">
    <w:name w:val="Bold and Italics"/>
    <w:qFormat/>
    <w:rsid w:val="002E4A0D"/>
    <w:rPr>
      <w:b/>
      <w:i/>
      <w:u w:val="none"/>
    </w:rPr>
  </w:style>
  <w:style w:type="paragraph" w:styleId="BalloonText">
    <w:name w:val="Balloon Text"/>
    <w:basedOn w:val="Normal"/>
    <w:link w:val="BalloonTextChar"/>
    <w:rsid w:val="002E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A0D"/>
    <w:pPr>
      <w:spacing w:before="0" w:after="0"/>
    </w:pPr>
  </w:style>
  <w:style w:type="paragraph" w:customStyle="1" w:styleId="BodyTextBold">
    <w:name w:val="Body Text Bold"/>
    <w:basedOn w:val="BodyText"/>
    <w:qFormat/>
    <w:rsid w:val="002E4A0D"/>
    <w:rPr>
      <w:b/>
    </w:rPr>
  </w:style>
  <w:style w:type="character" w:styleId="Hyperlink">
    <w:name w:val="Hyperlink"/>
    <w:basedOn w:val="DefaultParagraphFont"/>
    <w:uiPriority w:val="99"/>
    <w:unhideWhenUsed/>
    <w:rsid w:val="00914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3156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CPCCSF2004 Place and fix reinforcement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