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30F" w:rsidP="001F7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CPCCSF2002 Use steelfixing tools and equipment</w:t>
      </w:r>
      <w:r>
        <w:fldChar w:fldCharType="end"/>
      </w:r>
    </w:p>
    <w:p w:rsidR="001F730F" w:rsidP="001F730F">
      <w:pPr>
        <w:pStyle w:val="Version"/>
        <w:sectPr w:rsidSect="00EE6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6DEC" w:rsidP="00EE6DEC">
      <w:pPr>
        <w:pStyle w:val="SuperHeading"/>
      </w:pPr>
      <w:r w:rsidRPr="00EE6DEC">
        <w:t>Assessment Requirements for CPCCSF2002 Use steelfixing tools and equipment</w:t>
      </w:r>
    </w:p>
    <w:p w:rsidR="00000000" w:rsidRPr="00EE6DEC" w:rsidP="00EE6DEC">
      <w:pPr>
        <w:pStyle w:val="Heading1"/>
      </w:pPr>
      <w:bookmarkStart w:id="1" w:name="O_1292424"/>
      <w:bookmarkEnd w:id="1"/>
      <w:r w:rsidRPr="00EE6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E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DEC">
            <w:pPr>
              <w:pStyle w:val="BodyText"/>
              <w:rPr>
                <w:lang w:val="en-NZ"/>
              </w:rPr>
            </w:pPr>
            <w:r w:rsidRPr="00EE6DE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DEC">
            <w:pPr>
              <w:pStyle w:val="BodyText"/>
              <w:rPr>
                <w:lang w:val="en-NZ"/>
              </w:rPr>
            </w:pPr>
            <w:r w:rsidRPr="00EE6DEC">
              <w:t>Updated reference to general construction induction training program.</w:t>
            </w:r>
          </w:p>
        </w:tc>
      </w:tr>
      <w:tr w:rsidTr="00EE6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DEC">
            <w:pPr>
              <w:pStyle w:val="BodyText"/>
              <w:rPr>
                <w:lang w:val="en-NZ"/>
              </w:rPr>
            </w:pPr>
            <w:r w:rsidRPr="00EE6D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DEC" w:rsidP="00EE6DEC">
            <w:pPr>
              <w:pStyle w:val="BodyText"/>
            </w:pPr>
            <w:r w:rsidRPr="00EE6DEC">
              <w:t>This version first released with CPC Construction, Plumbing and Services Training Package Release 5.0.</w:t>
            </w:r>
          </w:p>
          <w:p w:rsidR="00000000" w:rsidRPr="00EE6DEC" w:rsidP="00EE6DEC">
            <w:pPr>
              <w:pStyle w:val="BodyText"/>
            </w:pPr>
            <w:r w:rsidRPr="00EE6DEC">
              <w:t>Supersedes and is equivalent to CPCCSF2002A Use steelfixing tools and equipment.  Updated to meet the Standards for Training Packages 2012.</w:t>
            </w:r>
          </w:p>
        </w:tc>
      </w:tr>
    </w:tbl>
    <w:p w:rsidR="00000000" w:rsidRPr="00EE6DEC" w:rsidP="00EE6DEC">
      <w:pPr>
        <w:pStyle w:val="BodyText"/>
      </w:pPr>
    </w:p>
    <w:p w:rsidR="00000000" w:rsidRPr="00EE6DEC" w:rsidP="00EE6DEC">
      <w:pPr>
        <w:pStyle w:val="AllowPageBreak"/>
      </w:pPr>
    </w:p>
    <w:p w:rsidR="00000000" w:rsidRPr="00EE6DEC" w:rsidP="00EE6DEC">
      <w:pPr>
        <w:pStyle w:val="Heading1"/>
      </w:pPr>
      <w:bookmarkStart w:id="2" w:name="O_1292423"/>
      <w:bookmarkEnd w:id="2"/>
      <w:r w:rsidRPr="00EE6DEC">
        <w:t>Performance Evidence</w:t>
      </w:r>
    </w:p>
    <w:p w:rsidR="00000000" w:rsidRPr="00EE6DEC" w:rsidP="001F730F">
      <w:pPr>
        <w:pStyle w:val="BodyText"/>
      </w:pPr>
      <w:r w:rsidRPr="00EE6DEC">
        <w:t>To demonstrate competency in this unit, a candidate must meet the elements and performance criteria by using steelfixing tools and equipment to complete two steelfixing tasks, using each of the following on at least one occasio</w:t>
      </w:r>
      <w:r w:rsidRPr="00EE6DEC">
        <w:t>n:</w:t>
      </w:r>
    </w:p>
    <w:p w:rsidR="00000000" w:rsidRPr="00EE6DEC" w:rsidP="00EE6DEC">
      <w:pPr>
        <w:pStyle w:val="ListBullet"/>
      </w:pPr>
      <w:r w:rsidRPr="00EE6DEC">
        <w:t>bolt cutters</w:t>
      </w:r>
    </w:p>
    <w:p w:rsidR="00000000" w:rsidRPr="00EE6DEC" w:rsidP="00EE6DEC">
      <w:pPr>
        <w:pStyle w:val="ListBullet"/>
      </w:pPr>
      <w:r w:rsidRPr="00EE6DEC">
        <w:t>wire nippers</w:t>
      </w:r>
    </w:p>
    <w:p w:rsidR="00000000" w:rsidRPr="00EE6DEC" w:rsidP="00EE6DEC">
      <w:pPr>
        <w:pStyle w:val="ListBullet"/>
      </w:pPr>
      <w:r w:rsidRPr="00EE6DEC">
        <w:t>tie wire reels</w:t>
      </w:r>
    </w:p>
    <w:p w:rsidR="00000000" w:rsidRPr="00EE6DEC" w:rsidP="00EE6DEC">
      <w:pPr>
        <w:pStyle w:val="ListBullet"/>
      </w:pPr>
      <w:r w:rsidRPr="00EE6DEC">
        <w:t>angle grinders</w:t>
      </w:r>
    </w:p>
    <w:p w:rsidR="00000000" w:rsidRPr="00EE6DEC" w:rsidP="00EE6DEC">
      <w:pPr>
        <w:pStyle w:val="ListBullet"/>
      </w:pPr>
      <w:r w:rsidRPr="00EE6DEC">
        <w:t>measuring tapes and rules</w:t>
      </w:r>
    </w:p>
    <w:p w:rsidR="00000000" w:rsidRPr="00EE6DEC" w:rsidP="00EE6DEC">
      <w:pPr>
        <w:pStyle w:val="ListBullet"/>
      </w:pPr>
      <w:r w:rsidRPr="00EE6DEC">
        <w:t>general and hand-held power tools</w:t>
      </w:r>
    </w:p>
    <w:p w:rsidR="00000000" w:rsidRPr="00EE6DEC" w:rsidP="00EE6DEC">
      <w:pPr>
        <w:pStyle w:val="ListBullet"/>
      </w:pPr>
      <w:r w:rsidRPr="00EE6DEC">
        <w:t>mesh guillotines</w:t>
      </w:r>
    </w:p>
    <w:p w:rsidR="00000000" w:rsidRPr="00EE6DEC" w:rsidP="00EE6DEC">
      <w:pPr>
        <w:pStyle w:val="ListBullet"/>
      </w:pPr>
      <w:r w:rsidRPr="00EE6DEC">
        <w:t>cutting attachments</w:t>
      </w:r>
    </w:p>
    <w:p w:rsidR="00000000" w:rsidRPr="00EE6DEC" w:rsidP="00EE6DEC">
      <w:pPr>
        <w:pStyle w:val="ListBullet"/>
      </w:pPr>
      <w:r w:rsidRPr="00EE6DEC">
        <w:t>generators for angle grinders</w:t>
      </w:r>
    </w:p>
    <w:p w:rsidR="00000000" w:rsidRPr="00EE6DEC" w:rsidP="00EE6DEC">
      <w:pPr>
        <w:pStyle w:val="ListBullet"/>
      </w:pPr>
      <w:r w:rsidRPr="00EE6DEC">
        <w:t>reinforcement benders</w:t>
      </w:r>
    </w:p>
    <w:p w:rsidR="00000000" w:rsidRPr="00EE6DEC" w:rsidP="00EE6DEC">
      <w:pPr>
        <w:pStyle w:val="ListBullet"/>
      </w:pPr>
      <w:r w:rsidRPr="00EE6DEC">
        <w:t>welding sets.</w:t>
      </w:r>
    </w:p>
    <w:p w:rsidR="00000000" w:rsidRPr="00EE6DEC" w:rsidP="00EE6DEC">
      <w:pPr>
        <w:pStyle w:val="AllowPageBreak"/>
      </w:pPr>
    </w:p>
    <w:p w:rsidR="00000000" w:rsidRPr="00EE6DEC" w:rsidP="00EE6DEC">
      <w:pPr>
        <w:pStyle w:val="Heading1"/>
      </w:pPr>
      <w:bookmarkStart w:id="3" w:name="O_1292422"/>
      <w:bookmarkEnd w:id="3"/>
      <w:r w:rsidRPr="00EE6DEC">
        <w:t>Knowledge Evidence</w:t>
      </w:r>
    </w:p>
    <w:p w:rsidR="00000000" w:rsidRPr="00EE6DEC" w:rsidP="001F730F">
      <w:pPr>
        <w:pStyle w:val="BodyText"/>
      </w:pPr>
      <w:r w:rsidRPr="00EE6DEC">
        <w:t xml:space="preserve">To be competent in this unit, a candidate must demonstrate knowledge of: </w:t>
      </w:r>
    </w:p>
    <w:p w:rsidR="00000000" w:rsidRPr="00EE6DEC" w:rsidP="00EE6DEC">
      <w:pPr>
        <w:pStyle w:val="ListBullet"/>
      </w:pPr>
      <w:r w:rsidRPr="00EE6DEC">
        <w:t>workplace and regulatory requirements for using steelfixing tools and equipment under applicable Commonwealth, state or territory work health and safety (WHS) leg</w:t>
      </w:r>
      <w:r w:rsidRPr="00EE6DEC">
        <w:t>islation and codes of practice:</w:t>
      </w:r>
    </w:p>
    <w:p w:rsidR="00000000" w:rsidRPr="00EE6DEC" w:rsidP="00EE6DEC">
      <w:pPr>
        <w:pStyle w:val="ListBullet2"/>
      </w:pPr>
      <w:r w:rsidRPr="00EE6DEC">
        <w:t xml:space="preserve">job safety and environmental analyses (JSEAs) </w:t>
      </w:r>
    </w:p>
    <w:p w:rsidR="00000000" w:rsidRPr="00EE6DEC" w:rsidP="00EE6DEC">
      <w:pPr>
        <w:pStyle w:val="ListBullet2"/>
      </w:pPr>
      <w:r w:rsidRPr="00EE6DEC">
        <w:t>safe work method statements (SWMSs)</w:t>
      </w:r>
    </w:p>
    <w:p w:rsidR="00000000" w:rsidRPr="00EE6DEC" w:rsidP="00EE6DEC">
      <w:pPr>
        <w:pStyle w:val="ListBullet2"/>
      </w:pPr>
      <w:r w:rsidRPr="00EE6DEC">
        <w:t>safety manuals and instructions for plant, tools and equipment</w:t>
      </w:r>
    </w:p>
    <w:p w:rsidR="00000000" w:rsidRPr="00EE6DEC" w:rsidP="00EE6DEC">
      <w:pPr>
        <w:pStyle w:val="ListBullet2"/>
      </w:pPr>
      <w:r w:rsidRPr="00EE6DEC">
        <w:t>signage and barricades</w:t>
      </w:r>
    </w:p>
    <w:p w:rsidR="00000000" w:rsidRPr="00EE6DEC" w:rsidP="00EE6DEC">
      <w:pPr>
        <w:pStyle w:val="ListBullet2"/>
      </w:pPr>
      <w:r w:rsidRPr="00EE6DEC">
        <w:t>personal protective equipment (PPE)</w:t>
      </w:r>
    </w:p>
    <w:p w:rsidR="00000000" w:rsidRPr="00EE6DEC" w:rsidP="00EE6DEC">
      <w:pPr>
        <w:pStyle w:val="ListBullet2"/>
      </w:pPr>
      <w:r w:rsidRPr="00EE6DEC">
        <w:t>working at heights requirements</w:t>
      </w:r>
    </w:p>
    <w:p w:rsidR="00000000" w:rsidRPr="00EE6DEC" w:rsidP="00EE6DEC">
      <w:pPr>
        <w:pStyle w:val="ListBullet2"/>
      </w:pPr>
      <w:r w:rsidRPr="00EE6DEC">
        <w:t>environmental and worksite safety plans</w:t>
      </w:r>
    </w:p>
    <w:p w:rsidR="00000000" w:rsidRPr="00EE6DEC" w:rsidP="00EE6DEC">
      <w:pPr>
        <w:pStyle w:val="ListBullet2"/>
      </w:pPr>
      <w:r w:rsidRPr="00EE6DEC">
        <w:t>reporting problems</w:t>
      </w:r>
    </w:p>
    <w:p w:rsidR="00000000" w:rsidRPr="00EE6DEC" w:rsidP="00EE6DEC">
      <w:pPr>
        <w:pStyle w:val="ListBullet"/>
      </w:pPr>
      <w:r w:rsidRPr="00EE6DEC">
        <w:t>steelfixing materials:</w:t>
      </w:r>
    </w:p>
    <w:p w:rsidR="00000000" w:rsidRPr="00EE6DEC" w:rsidP="00EE6DEC">
      <w:pPr>
        <w:pStyle w:val="ListBullet2"/>
      </w:pPr>
      <w:r w:rsidRPr="00EE6DEC">
        <w:t>deformed bars</w:t>
      </w:r>
    </w:p>
    <w:p w:rsidR="00000000" w:rsidRPr="00EE6DEC" w:rsidP="00EE6DEC">
      <w:pPr>
        <w:pStyle w:val="ListBullet2"/>
      </w:pPr>
      <w:r w:rsidRPr="00EE6DEC">
        <w:t>ligatures and spacer/spreader assemblies</w:t>
      </w:r>
    </w:p>
    <w:p w:rsidR="00000000" w:rsidRPr="00EE6DEC" w:rsidP="00EE6DEC">
      <w:pPr>
        <w:pStyle w:val="ListBullet2"/>
      </w:pPr>
      <w:r w:rsidRPr="00EE6DEC">
        <w:t>mesh sheets of deformed bars</w:t>
      </w:r>
    </w:p>
    <w:p w:rsidR="00000000" w:rsidRPr="00EE6DEC" w:rsidP="00EE6DEC">
      <w:pPr>
        <w:pStyle w:val="ListBullet2"/>
      </w:pPr>
      <w:r w:rsidRPr="00EE6DEC">
        <w:t>mesh sheets of plain bars</w:t>
      </w:r>
    </w:p>
    <w:p w:rsidR="00000000" w:rsidRPr="00EE6DEC" w:rsidP="00EE6DEC">
      <w:pPr>
        <w:pStyle w:val="ListBullet2"/>
      </w:pPr>
      <w:r w:rsidRPr="00EE6DEC">
        <w:t>plain rods</w:t>
      </w:r>
    </w:p>
    <w:p w:rsidR="00000000" w:rsidRPr="00EE6DEC" w:rsidP="00EE6DEC">
      <w:pPr>
        <w:pStyle w:val="ListBullet2"/>
      </w:pPr>
      <w:r w:rsidRPr="00EE6DEC">
        <w:t>wire ties</w:t>
      </w:r>
    </w:p>
    <w:p w:rsidR="00000000" w:rsidRPr="00EE6DEC" w:rsidP="00EE6DEC">
      <w:pPr>
        <w:pStyle w:val="ListBullet"/>
      </w:pPr>
      <w:r w:rsidRPr="00EE6DEC">
        <w:t>types, characteristics and limitations of steelfixing tools and equipment:</w:t>
      </w:r>
    </w:p>
    <w:p w:rsidR="00000000" w:rsidRPr="00EE6DEC" w:rsidP="00EE6DEC">
      <w:pPr>
        <w:pStyle w:val="ListBullet2"/>
      </w:pPr>
      <w:r w:rsidRPr="00EE6DEC">
        <w:t>bolt cutters</w:t>
      </w:r>
    </w:p>
    <w:p w:rsidR="00000000" w:rsidRPr="00EE6DEC" w:rsidP="00EE6DEC">
      <w:pPr>
        <w:pStyle w:val="ListBullet2"/>
      </w:pPr>
      <w:r w:rsidRPr="00EE6DEC">
        <w:t>wire nippers</w:t>
      </w:r>
    </w:p>
    <w:p w:rsidR="00000000" w:rsidRPr="00EE6DEC" w:rsidP="00EE6DEC">
      <w:pPr>
        <w:pStyle w:val="ListBullet2"/>
      </w:pPr>
      <w:r w:rsidRPr="00EE6DEC">
        <w:t>tie wire reels</w:t>
      </w:r>
    </w:p>
    <w:p w:rsidR="00000000" w:rsidRPr="00EE6DEC" w:rsidP="00EE6DEC">
      <w:pPr>
        <w:pStyle w:val="ListBullet2"/>
      </w:pPr>
      <w:r w:rsidRPr="00EE6DEC">
        <w:t>angle grinders</w:t>
      </w:r>
    </w:p>
    <w:p w:rsidR="00000000" w:rsidRPr="00EE6DEC" w:rsidP="00EE6DEC">
      <w:pPr>
        <w:pStyle w:val="ListBullet2"/>
      </w:pPr>
      <w:r w:rsidRPr="00EE6DEC">
        <w:t>measuring tapes and rules</w:t>
      </w:r>
    </w:p>
    <w:p w:rsidR="00000000" w:rsidRPr="00EE6DEC" w:rsidP="00EE6DEC">
      <w:pPr>
        <w:pStyle w:val="ListBullet2"/>
      </w:pPr>
      <w:r w:rsidRPr="00EE6DEC">
        <w:t>general and hand power tools</w:t>
      </w:r>
    </w:p>
    <w:p w:rsidR="00000000" w:rsidRPr="00EE6DEC" w:rsidP="00EE6DEC">
      <w:pPr>
        <w:pStyle w:val="ListBullet2"/>
      </w:pPr>
      <w:r w:rsidRPr="00EE6DEC">
        <w:t>generators for angle grinders</w:t>
      </w:r>
    </w:p>
    <w:p w:rsidR="00000000" w:rsidRPr="00EE6DEC" w:rsidP="00EE6DEC">
      <w:pPr>
        <w:pStyle w:val="ListBullet2"/>
      </w:pPr>
      <w:r w:rsidRPr="00EE6DEC">
        <w:t>reinforcement benders</w:t>
      </w:r>
    </w:p>
    <w:p w:rsidR="00000000" w:rsidRPr="00EE6DEC" w:rsidP="00EE6DEC">
      <w:pPr>
        <w:pStyle w:val="ListBullet2"/>
      </w:pPr>
      <w:r w:rsidRPr="00EE6DEC">
        <w:t>welding sets</w:t>
      </w:r>
    </w:p>
    <w:p w:rsidR="00000000" w:rsidRPr="00EE6DEC" w:rsidP="00EE6DEC">
      <w:pPr>
        <w:pStyle w:val="ListBullet2"/>
      </w:pPr>
      <w:r w:rsidRPr="00EE6DEC">
        <w:t>mesh</w:t>
      </w:r>
      <w:r w:rsidRPr="00EE6DEC">
        <w:t xml:space="preserve"> guillotines</w:t>
      </w:r>
    </w:p>
    <w:p w:rsidR="00000000" w:rsidRPr="00EE6DEC" w:rsidP="00EE6DEC">
      <w:pPr>
        <w:pStyle w:val="ListBullet2"/>
      </w:pPr>
      <w:r w:rsidRPr="00EE6DEC">
        <w:t>cutting attachments</w:t>
      </w:r>
    </w:p>
    <w:p w:rsidR="00000000" w:rsidRPr="00EE6DEC" w:rsidP="00EE6DEC">
      <w:pPr>
        <w:pStyle w:val="ListBullet"/>
      </w:pPr>
      <w:r w:rsidRPr="00EE6DEC">
        <w:t>requirements for using steelfixing tools and equipment:</w:t>
      </w:r>
    </w:p>
    <w:p w:rsidR="00000000" w:rsidRPr="00EE6DEC" w:rsidP="00EE6DEC">
      <w:pPr>
        <w:pStyle w:val="ListBullet2"/>
      </w:pPr>
      <w:r w:rsidRPr="00EE6DEC">
        <w:t>safe operating procedures</w:t>
      </w:r>
    </w:p>
    <w:p w:rsidR="00000000" w:rsidRPr="00EE6DEC" w:rsidP="00EE6DEC">
      <w:pPr>
        <w:pStyle w:val="ListBullet2"/>
      </w:pPr>
      <w:r w:rsidRPr="00EE6DEC">
        <w:t>operational, maintenance and intermediate diagnostic procedures</w:t>
      </w:r>
    </w:p>
    <w:p w:rsidR="00000000" w:rsidRPr="00EE6DEC" w:rsidP="00EE6DEC">
      <w:pPr>
        <w:pStyle w:val="ListBullet2"/>
      </w:pPr>
      <w:r w:rsidRPr="00EE6DEC">
        <w:t>workplace and equipment safety requirements</w:t>
      </w:r>
    </w:p>
    <w:p w:rsidR="00000000" w:rsidRPr="00EE6DEC" w:rsidP="00EE6DEC">
      <w:pPr>
        <w:pStyle w:val="ListBullet"/>
      </w:pPr>
      <w:r w:rsidRPr="00EE6DEC">
        <w:t>requirements for cleaning up work area, maintaining and storing plant, tools, equipment and materials, and for environmentally friendly waste management.</w:t>
      </w:r>
    </w:p>
    <w:p w:rsidR="00000000" w:rsidRPr="00EE6DEC" w:rsidP="00EE6DEC">
      <w:pPr>
        <w:pStyle w:val="AllowPageBreak"/>
      </w:pPr>
    </w:p>
    <w:p w:rsidR="00000000" w:rsidRPr="00EE6DEC" w:rsidP="00EE6DEC">
      <w:pPr>
        <w:pStyle w:val="Heading1"/>
      </w:pPr>
      <w:bookmarkStart w:id="4" w:name="O_1292421"/>
      <w:bookmarkEnd w:id="4"/>
      <w:r w:rsidRPr="00EE6DEC">
        <w:t>Assessment Conditions</w:t>
      </w:r>
    </w:p>
    <w:p w:rsidR="00000000" w:rsidRPr="00EE6DEC" w:rsidP="001F730F">
      <w:pPr>
        <w:pStyle w:val="BodyText"/>
      </w:pPr>
      <w:r w:rsidRPr="00EE6DEC">
        <w:t>Assessors must meet the requirements for assessors outlined i</w:t>
      </w:r>
      <w:r w:rsidRPr="00EE6DEC">
        <w:t xml:space="preserve">n the Standards for Registered Training Organisations. </w:t>
      </w:r>
    </w:p>
    <w:p w:rsidR="00000000" w:rsidRPr="00EE6DEC" w:rsidP="001F730F">
      <w:pPr>
        <w:pStyle w:val="BodyText"/>
      </w:pPr>
      <w:r w:rsidRPr="00EE6DEC">
        <w:t>Assessment must be conducted in the workplace or a simulated workplace using realistic conditions, materials, activities, responsibilities, procedures, safety requirements and environmental considerat</w:t>
      </w:r>
      <w:r w:rsidRPr="00EE6DEC">
        <w:t>ions.</w:t>
      </w:r>
    </w:p>
    <w:p w:rsidR="00000000" w:rsidRPr="00EE6DEC" w:rsidP="001F730F">
      <w:pPr>
        <w:pStyle w:val="BodyText"/>
      </w:pPr>
      <w:r w:rsidRPr="00EE6DEC">
        <w:t>Candidates must have access to:</w:t>
      </w:r>
    </w:p>
    <w:p w:rsidR="00000000" w:rsidRPr="00EE6DEC" w:rsidP="00EE6DEC">
      <w:pPr>
        <w:pStyle w:val="ListBullet"/>
      </w:pPr>
      <w:r w:rsidRPr="00EE6DEC">
        <w:t xml:space="preserve">industry-standard equipment required to perform the tasks specified in the Performance Evidence </w:t>
      </w:r>
    </w:p>
    <w:p w:rsidR="00000000" w:rsidRPr="00EE6DEC" w:rsidP="00EE6DEC">
      <w:pPr>
        <w:pStyle w:val="ListBullet"/>
      </w:pPr>
      <w:r w:rsidRPr="00EE6DEC">
        <w:t>appropriate workplace information and records, including policies, procedures and legislative requirements.</w:t>
      </w:r>
    </w:p>
    <w:p w:rsidR="00000000" w:rsidRPr="00EE6DEC" w:rsidP="00EE6DEC">
      <w:pPr>
        <w:pStyle w:val="AllowPageBreak"/>
      </w:pPr>
    </w:p>
    <w:p w:rsidR="00000000" w:rsidRPr="00EE6DEC" w:rsidP="00EE6DEC">
      <w:pPr>
        <w:pStyle w:val="Heading1"/>
      </w:pPr>
      <w:bookmarkStart w:id="5" w:name="O_1292434"/>
      <w:bookmarkEnd w:id="5"/>
      <w:r w:rsidRPr="00EE6DEC">
        <w:t>Links</w:t>
      </w:r>
    </w:p>
    <w:p w:rsidR="00000000" w:rsidRPr="00EE6DEC" w:rsidP="001F730F">
      <w:pPr>
        <w:pStyle w:val="BodyText"/>
      </w:pPr>
      <w:r w:rsidRPr="00EE6D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06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E6DEC" w:rsidP="00EE6DEC"/>
    <w:sectPr w:rsidSect="00EE6D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EC" w:rsidRPr="001F730F" w:rsidP="001F7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0F" w:rsidP="00EE6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30F" w:rsidP="00EE6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730F" w:rsidP="00EE6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DEC" w:rsidRPr="001F730F" w:rsidP="001F7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0F" w:rsidRPr="002D2AF8" w:rsidP="00EE6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CPCCSF2002 Use steelfixing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730F" w:rsidP="00EE6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4C5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03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C7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DEC"/>
  </w:style>
  <w:style w:type="character" w:customStyle="1" w:styleId="Heading1Char">
    <w:name w:val="Heading 1 Char"/>
    <w:basedOn w:val="DefaultParagraphFont"/>
    <w:link w:val="Heading1"/>
    <w:rsid w:val="00EE6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D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D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DEC"/>
    <w:rPr>
      <w:b/>
      <w:spacing w:val="0"/>
    </w:rPr>
  </w:style>
  <w:style w:type="paragraph" w:customStyle="1" w:styleId="SuperTitle">
    <w:name w:val="SuperTitle"/>
    <w:basedOn w:val="Title"/>
    <w:rsid w:val="00EE6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DEC"/>
    <w:rPr>
      <w:i/>
    </w:rPr>
  </w:style>
  <w:style w:type="paragraph" w:styleId="Caption">
    <w:name w:val="caption"/>
    <w:basedOn w:val="BodyText"/>
    <w:next w:val="Normal"/>
    <w:qFormat/>
    <w:rsid w:val="00EE6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DEC"/>
  </w:style>
  <w:style w:type="paragraph" w:styleId="TableofFigures">
    <w:name w:val="table of figures"/>
    <w:basedOn w:val="Normal"/>
    <w:next w:val="Normal"/>
    <w:semiHidden/>
    <w:rsid w:val="00EE6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D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DEC"/>
    <w:rPr>
      <w:rFonts w:ascii="Wingdings" w:hAnsi="Wingdings"/>
    </w:rPr>
  </w:style>
  <w:style w:type="paragraph" w:customStyle="1" w:styleId="TableHeading">
    <w:name w:val="Table Heading"/>
    <w:basedOn w:val="HeadingBase"/>
    <w:rsid w:val="00EE6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DEC"/>
    <w:rPr>
      <w:color w:val="0033CC"/>
      <w:u w:val="none"/>
    </w:rPr>
  </w:style>
  <w:style w:type="paragraph" w:customStyle="1" w:styleId="BodyTextRight">
    <w:name w:val="Body Text Right"/>
    <w:basedOn w:val="BodyText"/>
    <w:rsid w:val="00EE6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D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DEC"/>
    <w:rPr>
      <w:sz w:val="32"/>
    </w:rPr>
  </w:style>
  <w:style w:type="paragraph" w:customStyle="1" w:styleId="HeadingProcedure">
    <w:name w:val="Heading Procedure"/>
    <w:basedOn w:val="HeadingBase"/>
    <w:next w:val="Normal"/>
    <w:rsid w:val="00EE6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DEC"/>
    <w:pPr>
      <w:spacing w:before="60" w:after="60"/>
    </w:pPr>
  </w:style>
  <w:style w:type="paragraph" w:styleId="ListContinue">
    <w:name w:val="List Continue"/>
    <w:basedOn w:val="List"/>
    <w:rsid w:val="00EE6DEC"/>
    <w:pPr>
      <w:ind w:firstLine="0"/>
    </w:pPr>
  </w:style>
  <w:style w:type="paragraph" w:customStyle="1" w:styleId="ListNote">
    <w:name w:val="List Note"/>
    <w:basedOn w:val="List"/>
    <w:rsid w:val="00EE6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DEC"/>
    <w:rPr>
      <w:rFonts w:ascii="Courier New" w:hAnsi="Courier New"/>
    </w:rPr>
  </w:style>
  <w:style w:type="paragraph" w:customStyle="1" w:styleId="NoteBullet">
    <w:name w:val="Note Bullet"/>
    <w:basedOn w:val="Note"/>
    <w:rsid w:val="00EE6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D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DEC"/>
    <w:rPr>
      <w:b/>
      <w:smallCaps/>
    </w:rPr>
  </w:style>
  <w:style w:type="paragraph" w:customStyle="1" w:styleId="TableListNumber">
    <w:name w:val="Table List Number"/>
    <w:basedOn w:val="ListNumber"/>
    <w:rsid w:val="00EE6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DEC"/>
    <w:pPr>
      <w:numPr>
        <w:numId w:val="9"/>
      </w:numPr>
    </w:pPr>
  </w:style>
  <w:style w:type="paragraph" w:customStyle="1" w:styleId="ListAlpha2">
    <w:name w:val="List Alpha 2"/>
    <w:basedOn w:val="List2"/>
    <w:rsid w:val="00EE6DEC"/>
    <w:pPr>
      <w:numPr>
        <w:numId w:val="8"/>
      </w:numPr>
    </w:pPr>
  </w:style>
  <w:style w:type="paragraph" w:styleId="List2">
    <w:name w:val="List 2"/>
    <w:basedOn w:val="BodyText"/>
    <w:rsid w:val="00EE6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D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D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DEC"/>
    <w:pPr>
      <w:numPr>
        <w:numId w:val="4"/>
      </w:numPr>
    </w:pPr>
  </w:style>
  <w:style w:type="paragraph" w:styleId="ListContinue2">
    <w:name w:val="List Continue 2"/>
    <w:basedOn w:val="List2"/>
    <w:rsid w:val="00EE6DEC"/>
    <w:pPr>
      <w:ind w:firstLine="0"/>
    </w:pPr>
  </w:style>
  <w:style w:type="paragraph" w:styleId="ListContinue3">
    <w:name w:val="List Continue 3"/>
    <w:basedOn w:val="List3"/>
    <w:rsid w:val="00EE6DEC"/>
    <w:pPr>
      <w:ind w:left="1021" w:firstLine="0"/>
    </w:pPr>
  </w:style>
  <w:style w:type="paragraph" w:styleId="ListContinue4">
    <w:name w:val="List Continue 4"/>
    <w:basedOn w:val="List4"/>
    <w:rsid w:val="00EE6DEC"/>
    <w:pPr>
      <w:ind w:firstLine="0"/>
    </w:pPr>
  </w:style>
  <w:style w:type="paragraph" w:styleId="ListContinue5">
    <w:name w:val="List Continue 5"/>
    <w:basedOn w:val="List5"/>
    <w:rsid w:val="00EE6DEC"/>
    <w:pPr>
      <w:ind w:firstLine="0"/>
    </w:pPr>
  </w:style>
  <w:style w:type="paragraph" w:styleId="ListNumber3">
    <w:name w:val="List Number 3"/>
    <w:basedOn w:val="List3"/>
    <w:rsid w:val="00EE6DEC"/>
    <w:pPr>
      <w:numPr>
        <w:numId w:val="5"/>
      </w:numPr>
    </w:pPr>
  </w:style>
  <w:style w:type="paragraph" w:styleId="ListNumber4">
    <w:name w:val="List Number 4"/>
    <w:basedOn w:val="List4"/>
    <w:rsid w:val="00EE6DEC"/>
    <w:pPr>
      <w:numPr>
        <w:numId w:val="6"/>
      </w:numPr>
    </w:pPr>
  </w:style>
  <w:style w:type="paragraph" w:styleId="ListNumber5">
    <w:name w:val="List Number 5"/>
    <w:basedOn w:val="List5"/>
    <w:rsid w:val="00EE6DEC"/>
    <w:pPr>
      <w:numPr>
        <w:numId w:val="7"/>
      </w:numPr>
    </w:pPr>
  </w:style>
  <w:style w:type="paragraph" w:styleId="BlockText">
    <w:name w:val="Block Text"/>
    <w:basedOn w:val="Normal"/>
    <w:rsid w:val="00EE6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DEC"/>
    <w:rPr>
      <w:sz w:val="16"/>
      <w:vertAlign w:val="superscript"/>
    </w:rPr>
  </w:style>
  <w:style w:type="character" w:customStyle="1" w:styleId="Symbols">
    <w:name w:val="Symbols"/>
    <w:basedOn w:val="DefaultParagraphFont"/>
    <w:rsid w:val="00EE6DEC"/>
    <w:rPr>
      <w:rFonts w:ascii="Symbol" w:hAnsi="Symbol"/>
    </w:rPr>
  </w:style>
  <w:style w:type="character" w:customStyle="1" w:styleId="MenuOptions">
    <w:name w:val="Menu Options"/>
    <w:basedOn w:val="DefaultParagraphFont"/>
    <w:rsid w:val="00EE6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DEC"/>
    <w:rPr>
      <w:b/>
    </w:rPr>
  </w:style>
  <w:style w:type="character" w:customStyle="1" w:styleId="Underlined">
    <w:name w:val="Underlined"/>
    <w:basedOn w:val="DefaultParagraphFont"/>
    <w:rsid w:val="00EE6DEC"/>
    <w:rPr>
      <w:u w:val="single"/>
    </w:rPr>
  </w:style>
  <w:style w:type="paragraph" w:customStyle="1" w:styleId="TableBodyTextRight">
    <w:name w:val="Table Body Text Right"/>
    <w:basedOn w:val="TableBodyText"/>
    <w:rsid w:val="00EE6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DEC"/>
    <w:rPr>
      <w:sz w:val="18"/>
    </w:rPr>
  </w:style>
  <w:style w:type="paragraph" w:customStyle="1" w:styleId="BodySmallRight">
    <w:name w:val="Body Small Right"/>
    <w:basedOn w:val="BodyTextRight"/>
    <w:rsid w:val="00EE6DEC"/>
    <w:rPr>
      <w:sz w:val="18"/>
      <w:szCs w:val="18"/>
    </w:rPr>
  </w:style>
  <w:style w:type="paragraph" w:customStyle="1" w:styleId="MarginEdition">
    <w:name w:val="Margin Edition"/>
    <w:basedOn w:val="MarginNote"/>
    <w:rsid w:val="00EE6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DEC"/>
    <w:rPr>
      <w:sz w:val="2"/>
      <w:szCs w:val="2"/>
    </w:rPr>
  </w:style>
  <w:style w:type="character" w:customStyle="1" w:styleId="Small">
    <w:name w:val="Small"/>
    <w:basedOn w:val="DefaultParagraphFont"/>
    <w:rsid w:val="00EE6DEC"/>
    <w:rPr>
      <w:sz w:val="16"/>
    </w:rPr>
  </w:style>
  <w:style w:type="paragraph" w:customStyle="1" w:styleId="WideTable">
    <w:name w:val="Wide Table"/>
    <w:basedOn w:val="Normal"/>
    <w:rsid w:val="00EE6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DEC"/>
  </w:style>
  <w:style w:type="paragraph" w:styleId="Quote">
    <w:name w:val="Quote"/>
    <w:basedOn w:val="Heading1"/>
    <w:link w:val="QuoteChar"/>
    <w:qFormat/>
    <w:rsid w:val="00EE6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DEC"/>
    <w:pPr>
      <w:pageBreakBefore/>
    </w:pPr>
  </w:style>
  <w:style w:type="paragraph" w:customStyle="1" w:styleId="Border">
    <w:name w:val="Border"/>
    <w:basedOn w:val="Normal"/>
    <w:qFormat/>
    <w:rsid w:val="00EE6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DEC"/>
    <w:rPr>
      <w:u w:val="single"/>
    </w:rPr>
  </w:style>
  <w:style w:type="character" w:customStyle="1" w:styleId="BoldandItalics">
    <w:name w:val="Bold and Italics"/>
    <w:qFormat/>
    <w:rsid w:val="00EE6DEC"/>
    <w:rPr>
      <w:b/>
      <w:i/>
      <w:u w:val="none"/>
    </w:rPr>
  </w:style>
  <w:style w:type="paragraph" w:styleId="BalloonText">
    <w:name w:val="Balloon Text"/>
    <w:basedOn w:val="Normal"/>
    <w:link w:val="BalloonTextChar"/>
    <w:rsid w:val="00EE6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DEC"/>
    <w:pPr>
      <w:spacing w:before="0" w:after="0"/>
    </w:pPr>
  </w:style>
  <w:style w:type="paragraph" w:customStyle="1" w:styleId="BodyTextBold">
    <w:name w:val="Body Text Bold"/>
    <w:basedOn w:val="BodyText"/>
    <w:qFormat/>
    <w:rsid w:val="00EE6DEC"/>
    <w:rPr>
      <w:b/>
    </w:rPr>
  </w:style>
  <w:style w:type="character" w:styleId="Hyperlink">
    <w:name w:val="Hyperlink"/>
    <w:basedOn w:val="DefaultParagraphFont"/>
    <w:uiPriority w:val="99"/>
    <w:unhideWhenUsed/>
    <w:rsid w:val="001F7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2870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CPCCSF2002 Use steelfixing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