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EF0" w:rsidP="00D76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CPCCSC2001 Handle and position scaffolding tools, equipment and components</w:t>
      </w:r>
      <w:r>
        <w:fldChar w:fldCharType="end"/>
      </w:r>
    </w:p>
    <w:p w:rsidR="00D76EF0" w:rsidP="00D76EF0">
      <w:pPr>
        <w:pStyle w:val="Version"/>
        <w:sectPr w:rsidSect="00962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27F1" w:rsidP="009627F1">
      <w:pPr>
        <w:pStyle w:val="SuperHeading"/>
      </w:pPr>
      <w:r w:rsidRPr="009627F1">
        <w:t>CPCCSC2001 Handle and position scaffolding tools, equipment and components</w:t>
      </w:r>
    </w:p>
    <w:p w:rsidR="00000000" w:rsidRPr="009627F1" w:rsidP="009627F1">
      <w:pPr>
        <w:pStyle w:val="Heading1"/>
      </w:pPr>
      <w:bookmarkStart w:id="1" w:name="O_1292496"/>
      <w:bookmarkEnd w:id="1"/>
      <w:r w:rsidRPr="009627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Updated reference to general construction induction training program.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7F1" w:rsidP="009627F1">
            <w:pPr>
              <w:pStyle w:val="BodyText"/>
            </w:pPr>
            <w:r w:rsidRPr="009627F1">
              <w:t>This version first released with CPC Construction, Plumbing and Services Training Package Release 5.0.</w:t>
            </w:r>
          </w:p>
          <w:p w:rsidR="00000000" w:rsidRPr="009627F1" w:rsidP="009627F1">
            <w:pPr>
              <w:pStyle w:val="BodyText"/>
            </w:pPr>
            <w:r w:rsidRPr="009627F1">
              <w:t>Supersedes and is equivalent to CPCCSC2001A Safely handle and use scaffolding tools and equipment.  Updated to meet the Standards for Training Packages.</w:t>
            </w:r>
          </w:p>
        </w:tc>
      </w:tr>
    </w:tbl>
    <w:p w:rsidR="00000000" w:rsidRPr="009627F1" w:rsidP="009627F1">
      <w:pPr>
        <w:pStyle w:val="BodyText"/>
      </w:pPr>
    </w:p>
    <w:p w:rsidR="00000000" w:rsidRPr="009627F1" w:rsidP="009627F1">
      <w:pPr>
        <w:pStyle w:val="AllowPageBreak"/>
      </w:pPr>
    </w:p>
    <w:p w:rsidR="00000000" w:rsidRPr="009627F1" w:rsidP="009627F1">
      <w:pPr>
        <w:pStyle w:val="Heading1"/>
      </w:pPr>
      <w:bookmarkStart w:id="2" w:name="O_1292495"/>
      <w:bookmarkEnd w:id="2"/>
      <w:r w:rsidRPr="009627F1">
        <w:t>Application</w:t>
      </w:r>
    </w:p>
    <w:p w:rsidR="00000000" w:rsidRPr="009627F1" w:rsidP="00D76EF0">
      <w:pPr>
        <w:pStyle w:val="BodyText"/>
      </w:pPr>
      <w:r w:rsidRPr="009627F1">
        <w:t>This unit specifies the skills and knowledge required to handle and locate scaffolding tools, equipment and components. It includes selecting, moving, locating, positioning and storing scaffolding tools, equipment and compo</w:t>
      </w:r>
      <w:r w:rsidRPr="009627F1">
        <w:t>nents.</w:t>
      </w:r>
    </w:p>
    <w:p w:rsidR="00000000" w:rsidRPr="009627F1" w:rsidP="00D76EF0">
      <w:pPr>
        <w:pStyle w:val="BodyText"/>
      </w:pPr>
      <w:r w:rsidRPr="009627F1">
        <w:t>It applies to those who work under the direction of more experienced workers to support dogging activities.</w:t>
      </w:r>
    </w:p>
    <w:p w:rsidR="00000000" w:rsidRPr="009627F1" w:rsidP="00D76EF0">
      <w:pPr>
        <w:pStyle w:val="BodyText"/>
      </w:pPr>
      <w:r w:rsidRPr="009627F1">
        <w:t xml:space="preserve">Completion of the general construction induction training program, specified in the Safe Work Australia model </w:t>
      </w:r>
      <w:r w:rsidRPr="009627F1">
        <w:rPr>
          <w:rStyle w:val="Emphasis"/>
        </w:rPr>
        <w:t xml:space="preserve">Code of Practice: Construction </w:t>
      </w:r>
      <w:r w:rsidRPr="009627F1">
        <w:rPr>
          <w:rStyle w:val="Emphasis"/>
        </w:rPr>
        <w:t>Work</w:t>
      </w:r>
      <w:r w:rsidRPr="009627F1">
        <w:t xml:space="preserve">, is required by anyone carrying out construction work. Achievement of </w:t>
      </w:r>
      <w:r w:rsidRPr="009627F1">
        <w:rPr>
          <w:rStyle w:val="Emphasis"/>
        </w:rPr>
        <w:t>CPCWHS1001 Prepare to work safely in the construction industry</w:t>
      </w:r>
      <w:r w:rsidRPr="009627F1">
        <w:t xml:space="preserve"> meets this requirement.</w:t>
      </w:r>
    </w:p>
    <w:p w:rsidR="00000000" w:rsidRPr="009627F1" w:rsidP="00D76EF0">
      <w:pPr>
        <w:pStyle w:val="BodyText"/>
      </w:pPr>
      <w:r w:rsidRPr="009627F1">
        <w:t>No licensing, legislative or certification requirements apply to this unit at the time of publ</w:t>
      </w:r>
      <w:r w:rsidRPr="009627F1">
        <w:t>ication.</w:t>
      </w:r>
    </w:p>
    <w:p w:rsidR="00000000" w:rsidRPr="009627F1" w:rsidP="009627F1">
      <w:pPr>
        <w:pStyle w:val="Heading1"/>
      </w:pPr>
      <w:bookmarkStart w:id="3" w:name="O_1292494"/>
      <w:bookmarkEnd w:id="3"/>
      <w:r w:rsidRPr="009627F1">
        <w:t>Pre-requisite Unit</w:t>
      </w:r>
    </w:p>
    <w:p w:rsidR="00000000" w:rsidRPr="009627F1" w:rsidP="00D76EF0">
      <w:pPr>
        <w:pStyle w:val="BodyText"/>
      </w:pPr>
      <w:r w:rsidRPr="009627F1">
        <w:t>CPCCWHS2001 Apply WHS requirements, policies and procedures in the construction industry</w:t>
      </w:r>
    </w:p>
    <w:p w:rsidR="00000000" w:rsidRPr="009627F1" w:rsidP="009627F1">
      <w:pPr>
        <w:pStyle w:val="Heading1"/>
      </w:pPr>
      <w:bookmarkStart w:id="4" w:name="O_1292493"/>
      <w:bookmarkEnd w:id="4"/>
      <w:r w:rsidRPr="009627F1">
        <w:t>Unit Sector</w:t>
      </w:r>
    </w:p>
    <w:p w:rsidR="00000000" w:rsidRPr="009627F1" w:rsidP="00D76EF0">
      <w:pPr>
        <w:pStyle w:val="BodyText"/>
      </w:pPr>
      <w:r w:rsidRPr="009627F1">
        <w:t>Construction</w:t>
      </w:r>
    </w:p>
    <w:p w:rsidR="00000000" w:rsidRPr="009627F1" w:rsidP="009627F1">
      <w:pPr>
        <w:pStyle w:val="Heading1"/>
      </w:pPr>
      <w:bookmarkStart w:id="5" w:name="O_1292492"/>
      <w:bookmarkEnd w:id="5"/>
      <w:r w:rsidRPr="009627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Performance criteria describe what needs to be done to demonstrate achievement of the element.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Plan and prepare to handle, move and locate scaffolding tools, equipment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Read work order and a</w:t>
            </w:r>
            <w:r w:rsidRPr="009627F1">
              <w:t>ssociated documentation and clarify work tasks with relevant persons.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Plan all work to comply with relevant legislation, regulations, standards, codes, work health and safety (WHS), environmental and workplace requirements.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Select tools and equipment required for work tasks, check for serviceability and rectify or report identified faults.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Select and fit personal protective equipment (PPE) appropriate for work activities.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Handle, move, sort and stack scaffolding tools, equipment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Move scaffolding tools, equipment and components manually using safe manual handling techniques.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Stack or band scaffolding tools, equipment and components for mechanical handling in accordance with work order.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Load, unload, move or locate scaffolding tools, equipment and components at specified location, assist mechanical handling equipment ope</w:t>
            </w:r>
            <w:r w:rsidRPr="009627F1">
              <w:t>rator and ensure safe handling.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Sort scaffolding tools, equipment and components, and stack for ease of identification and retrieval, in accordance with task sequence and job location.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Protect scaffolding tools, equipment and components against physical and water damage, and store clear of access ways for ease of identification, retrieval and distribution.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Store scaffolding tools, equipment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Use safe handling t</w:t>
            </w:r>
            <w:r w:rsidRPr="009627F1">
              <w:t>echniques to move scaffolding tools, equipment and components manually or mechanically to storage area after conclusion of scaffolding task.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7F1" w:rsidP="009627F1">
            <w:pPr>
              <w:pStyle w:val="BodyText"/>
            </w:pPr>
            <w:r w:rsidRPr="009627F1">
              <w:t>Clean, check, maintain and store scaffolding tools, equipment and components in accordance with manufacturer and workplace requirements.</w:t>
            </w:r>
          </w:p>
        </w:tc>
      </w:tr>
    </w:tbl>
    <w:p w:rsidR="00000000" w:rsidRPr="009627F1" w:rsidP="009627F1">
      <w:pPr>
        <w:pStyle w:val="BodyText"/>
      </w:pPr>
    </w:p>
    <w:p w:rsidR="00000000" w:rsidRPr="009627F1" w:rsidP="009627F1">
      <w:pPr>
        <w:pStyle w:val="AllowPageBreak"/>
      </w:pPr>
    </w:p>
    <w:p w:rsidR="00000000" w:rsidRPr="009627F1" w:rsidP="009627F1">
      <w:pPr>
        <w:pStyle w:val="Heading1"/>
      </w:pPr>
      <w:bookmarkStart w:id="6" w:name="O_1292491"/>
      <w:bookmarkEnd w:id="6"/>
      <w:r w:rsidRPr="009627F1">
        <w:t>Foundation Skills</w:t>
      </w:r>
    </w:p>
    <w:p w:rsidR="00000000" w:rsidRPr="009627F1" w:rsidP="00D76EF0">
      <w:pPr>
        <w:pStyle w:val="BodyText"/>
      </w:pPr>
      <w:r w:rsidRPr="009627F1">
        <w:t>Foundation skills essential to performance are explicit in the performance crite</w:t>
      </w:r>
      <w:r w:rsidRPr="009627F1">
        <w:t xml:space="preserve">ria of this unit of competency. </w:t>
      </w:r>
    </w:p>
    <w:p w:rsidR="00000000" w:rsidRPr="009627F1" w:rsidP="009627F1">
      <w:pPr>
        <w:pStyle w:val="Heading1"/>
      </w:pPr>
      <w:bookmarkStart w:id="7" w:name="O_1292490"/>
      <w:bookmarkEnd w:id="7"/>
      <w:r w:rsidRPr="009627F1">
        <w:t>Unit Mapping Information</w:t>
      </w:r>
    </w:p>
    <w:p w:rsidR="00000000" w:rsidRPr="009627F1" w:rsidP="00D76EF0">
      <w:pPr>
        <w:pStyle w:val="BodyText"/>
      </w:pPr>
      <w:r w:rsidRPr="009627F1">
        <w:t>Supersedes and is equivalent to CPCCSC2001A Safely handle and use scaffolding tools and equipment.</w:t>
      </w:r>
    </w:p>
    <w:p w:rsidR="00000000" w:rsidRPr="009627F1" w:rsidP="009627F1">
      <w:pPr>
        <w:pStyle w:val="Heading1"/>
      </w:pPr>
      <w:bookmarkStart w:id="8" w:name="O_1292497"/>
      <w:bookmarkEnd w:id="8"/>
      <w:r w:rsidRPr="009627F1">
        <w:t>Links</w:t>
      </w:r>
    </w:p>
    <w:p w:rsidR="00000000" w:rsidRPr="009627F1" w:rsidP="00D76EF0">
      <w:pPr>
        <w:pStyle w:val="BodyText"/>
      </w:pPr>
      <w:r w:rsidRPr="009627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520D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627F1" w:rsidP="00D76EF0">
      <w:pPr>
        <w:pStyle w:val="BodyText"/>
        <w:sectPr w:rsidSect="009627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27F1" w:rsidP="009627F1">
      <w:pPr>
        <w:pStyle w:val="SuperHeading"/>
      </w:pPr>
      <w:r w:rsidRPr="009627F1">
        <w:t>Assessment Requirements for CPCCSC2001 Hand</w:t>
      </w:r>
      <w:r w:rsidRPr="009627F1">
        <w:t>le and position scaffolding tools, equipment and components</w:t>
      </w:r>
    </w:p>
    <w:p w:rsidR="00000000" w:rsidRPr="009627F1" w:rsidP="009627F1">
      <w:pPr>
        <w:pStyle w:val="Heading1"/>
      </w:pPr>
      <w:bookmarkStart w:id="9" w:name="O_1292488"/>
      <w:bookmarkEnd w:id="9"/>
      <w:r w:rsidRPr="009627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Updated reference to general construction induction training program.</w:t>
            </w:r>
          </w:p>
        </w:tc>
      </w:tr>
      <w:tr w:rsidTr="00962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7F1">
            <w:pPr>
              <w:pStyle w:val="BodyText"/>
              <w:rPr>
                <w:lang w:val="en-NZ"/>
              </w:rPr>
            </w:pPr>
            <w:r w:rsidRPr="009627F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7F1" w:rsidP="009627F1">
            <w:pPr>
              <w:pStyle w:val="BodyText"/>
            </w:pPr>
            <w:r w:rsidRPr="009627F1">
              <w:t>This version first released with CPC Construction, Plumbing and Se</w:t>
            </w:r>
            <w:r w:rsidRPr="009627F1">
              <w:t>rvices Training Package Release 5.0.</w:t>
            </w:r>
          </w:p>
          <w:p w:rsidR="00000000" w:rsidRPr="009627F1" w:rsidP="009627F1">
            <w:pPr>
              <w:pStyle w:val="BodyText"/>
            </w:pPr>
            <w:r w:rsidRPr="009627F1">
              <w:t>Supersedes and is equivalent to CPCCSC2001A Safely handle and use scaffolding tools and equipment.  Updated to meet the Standards for Training Packages.</w:t>
            </w:r>
          </w:p>
        </w:tc>
      </w:tr>
    </w:tbl>
    <w:p w:rsidR="00000000" w:rsidRPr="009627F1" w:rsidP="009627F1">
      <w:pPr>
        <w:pStyle w:val="BodyText"/>
      </w:pPr>
    </w:p>
    <w:p w:rsidR="00000000" w:rsidRPr="009627F1" w:rsidP="009627F1">
      <w:pPr>
        <w:pStyle w:val="AllowPageBreak"/>
      </w:pPr>
    </w:p>
    <w:p w:rsidR="00000000" w:rsidRPr="009627F1" w:rsidP="009627F1">
      <w:pPr>
        <w:pStyle w:val="Heading1"/>
      </w:pPr>
      <w:bookmarkStart w:id="10" w:name="O_1292487"/>
      <w:bookmarkEnd w:id="10"/>
      <w:r w:rsidRPr="009627F1">
        <w:t>Performance Evidence</w:t>
      </w:r>
    </w:p>
    <w:p w:rsidR="00000000" w:rsidRPr="009627F1" w:rsidP="00D76EF0">
      <w:pPr>
        <w:pStyle w:val="BodyText"/>
      </w:pPr>
      <w:r w:rsidRPr="009627F1">
        <w:t>To demonstrate competenc</w:t>
      </w:r>
      <w:r w:rsidRPr="009627F1">
        <w:t>y in this unit, a candidate must meet the elements and performance criteria by handling and locating scaffolding tools, equipment and components for three different scaffolding tasks.</w:t>
      </w:r>
    </w:p>
    <w:p w:rsidR="00000000" w:rsidRPr="009627F1" w:rsidP="009627F1">
      <w:pPr>
        <w:pStyle w:val="Heading1"/>
      </w:pPr>
      <w:bookmarkStart w:id="11" w:name="O_1292486"/>
      <w:bookmarkEnd w:id="11"/>
      <w:r w:rsidRPr="009627F1">
        <w:t>Knowledge Evidence</w:t>
      </w:r>
    </w:p>
    <w:p w:rsidR="00000000" w:rsidRPr="009627F1" w:rsidP="00D76EF0">
      <w:pPr>
        <w:pStyle w:val="BodyText"/>
      </w:pPr>
      <w:r w:rsidRPr="009627F1">
        <w:t xml:space="preserve">To be competent in this unit, a candidate must demonstrate knowledge of: </w:t>
      </w:r>
    </w:p>
    <w:p w:rsidR="00000000" w:rsidRPr="009627F1" w:rsidP="009627F1">
      <w:pPr>
        <w:pStyle w:val="ListBullet"/>
      </w:pPr>
      <w:r w:rsidRPr="009627F1">
        <w:t>workplace and regulatory requirements for handling and positioning scaffolding tools, equipment and components under applicable Commonwealth, state or territory work health and safe</w:t>
      </w:r>
      <w:r w:rsidRPr="009627F1">
        <w:t>ty (WHS) legislation and codes of practice:</w:t>
      </w:r>
    </w:p>
    <w:p w:rsidR="00000000" w:rsidRPr="009627F1" w:rsidP="009627F1">
      <w:pPr>
        <w:pStyle w:val="ListBullet2"/>
      </w:pPr>
      <w:r w:rsidRPr="009627F1">
        <w:t xml:space="preserve">job safety and environmental analyses (JSEAs) </w:t>
      </w:r>
    </w:p>
    <w:p w:rsidR="00000000" w:rsidRPr="009627F1" w:rsidP="009627F1">
      <w:pPr>
        <w:pStyle w:val="ListBullet2"/>
      </w:pPr>
      <w:r w:rsidRPr="009627F1">
        <w:t>safe work method statements (SWMSs)</w:t>
      </w:r>
    </w:p>
    <w:p w:rsidR="00000000" w:rsidRPr="009627F1" w:rsidP="009627F1">
      <w:pPr>
        <w:pStyle w:val="ListBullet2"/>
      </w:pPr>
      <w:r w:rsidRPr="009627F1">
        <w:t>safety data sheets (SDSs)</w:t>
      </w:r>
    </w:p>
    <w:p w:rsidR="00000000" w:rsidRPr="009627F1" w:rsidP="009627F1">
      <w:pPr>
        <w:pStyle w:val="ListBullet2"/>
      </w:pPr>
      <w:r w:rsidRPr="009627F1">
        <w:t>signage</w:t>
      </w:r>
    </w:p>
    <w:p w:rsidR="00000000" w:rsidRPr="009627F1" w:rsidP="009627F1">
      <w:pPr>
        <w:pStyle w:val="ListBullet2"/>
      </w:pPr>
      <w:r w:rsidRPr="009627F1">
        <w:t>environmental and worksite safety plans</w:t>
      </w:r>
    </w:p>
    <w:p w:rsidR="00000000" w:rsidRPr="009627F1" w:rsidP="009627F1">
      <w:pPr>
        <w:pStyle w:val="ListBullet2"/>
      </w:pPr>
      <w:r w:rsidRPr="009627F1">
        <w:t>reporting problems</w:t>
      </w:r>
    </w:p>
    <w:p w:rsidR="00000000" w:rsidRPr="009627F1" w:rsidP="009627F1">
      <w:pPr>
        <w:pStyle w:val="ListBullet"/>
      </w:pPr>
      <w:r w:rsidRPr="009627F1">
        <w:t>interpreting task plans and specif</w:t>
      </w:r>
      <w:r w:rsidRPr="009627F1">
        <w:t xml:space="preserve">ications relating to safely handling and locating scaffolding tools, equipment and components </w:t>
      </w:r>
    </w:p>
    <w:p w:rsidR="00000000" w:rsidRPr="009627F1" w:rsidP="009627F1">
      <w:pPr>
        <w:pStyle w:val="ListBullet"/>
      </w:pPr>
      <w:r w:rsidRPr="009627F1">
        <w:t>types, characteristics, uses and limitations of scaffolding tools and equipment:</w:t>
      </w:r>
    </w:p>
    <w:p w:rsidR="00000000" w:rsidRPr="009627F1" w:rsidP="009627F1">
      <w:pPr>
        <w:pStyle w:val="ListBullet2"/>
      </w:pPr>
      <w:r w:rsidRPr="009627F1">
        <w:t>hammers</w:t>
      </w:r>
    </w:p>
    <w:p w:rsidR="00000000" w:rsidRPr="009627F1" w:rsidP="009627F1">
      <w:pPr>
        <w:pStyle w:val="ListBullet2"/>
      </w:pPr>
      <w:r w:rsidRPr="009627F1">
        <w:t>ladders</w:t>
      </w:r>
    </w:p>
    <w:p w:rsidR="00000000" w:rsidRPr="009627F1" w:rsidP="009627F1">
      <w:pPr>
        <w:pStyle w:val="ListBullet2"/>
      </w:pPr>
      <w:r w:rsidRPr="009627F1">
        <w:t>nips</w:t>
      </w:r>
    </w:p>
    <w:p w:rsidR="00000000" w:rsidRPr="009627F1" w:rsidP="009627F1">
      <w:pPr>
        <w:pStyle w:val="ListBullet2"/>
      </w:pPr>
      <w:r w:rsidRPr="009627F1">
        <w:t>pallet trolleys</w:t>
      </w:r>
    </w:p>
    <w:p w:rsidR="00000000" w:rsidRPr="009627F1" w:rsidP="009627F1">
      <w:pPr>
        <w:pStyle w:val="ListBullet2"/>
      </w:pPr>
      <w:r w:rsidRPr="009627F1">
        <w:t>planks, including laminated</w:t>
      </w:r>
    </w:p>
    <w:p w:rsidR="00000000" w:rsidRPr="009627F1" w:rsidP="009627F1">
      <w:pPr>
        <w:pStyle w:val="ListBullet2"/>
      </w:pPr>
      <w:r w:rsidRPr="009627F1">
        <w:t>spanners</w:t>
      </w:r>
    </w:p>
    <w:p w:rsidR="00000000" w:rsidRPr="009627F1" w:rsidP="009627F1">
      <w:pPr>
        <w:pStyle w:val="ListBullet2"/>
      </w:pPr>
      <w:r w:rsidRPr="009627F1">
        <w:t>spirit levels</w:t>
      </w:r>
    </w:p>
    <w:p w:rsidR="00000000" w:rsidRPr="009627F1" w:rsidP="009627F1">
      <w:pPr>
        <w:pStyle w:val="ListBullet2"/>
      </w:pPr>
      <w:r w:rsidRPr="009627F1">
        <w:t>tape measures</w:t>
      </w:r>
    </w:p>
    <w:p w:rsidR="00000000" w:rsidRPr="009627F1" w:rsidP="009627F1">
      <w:pPr>
        <w:pStyle w:val="ListBullet"/>
      </w:pPr>
      <w:r w:rsidRPr="009627F1">
        <w:t>processes for assisting mechanical handling equipment operator, including signalling methods</w:t>
      </w:r>
    </w:p>
    <w:p w:rsidR="00000000" w:rsidRPr="009627F1" w:rsidP="009627F1">
      <w:pPr>
        <w:pStyle w:val="ListBullet"/>
      </w:pPr>
      <w:r w:rsidRPr="009627F1">
        <w:t>storage requirements for scaffolding tools, equipment and components.</w:t>
      </w:r>
    </w:p>
    <w:p w:rsidR="00000000" w:rsidRPr="009627F1" w:rsidP="009627F1">
      <w:pPr>
        <w:pStyle w:val="AllowPageBreak"/>
      </w:pPr>
    </w:p>
    <w:p w:rsidR="00000000" w:rsidRPr="009627F1" w:rsidP="009627F1">
      <w:pPr>
        <w:pStyle w:val="Heading1"/>
      </w:pPr>
      <w:bookmarkStart w:id="12" w:name="O_1292485"/>
      <w:bookmarkEnd w:id="12"/>
      <w:r w:rsidRPr="009627F1">
        <w:t>Assessment Conditions</w:t>
      </w:r>
    </w:p>
    <w:p w:rsidR="00000000" w:rsidRPr="009627F1" w:rsidP="00D76EF0">
      <w:pPr>
        <w:pStyle w:val="BodyText"/>
      </w:pPr>
      <w:r w:rsidRPr="009627F1">
        <w:t>Assessors must meet the</w:t>
      </w:r>
      <w:r w:rsidRPr="009627F1">
        <w:t xml:space="preserve"> requirements for assessors outlined in the Standards for Registered Training Organisations. </w:t>
      </w:r>
    </w:p>
    <w:p w:rsidR="00000000" w:rsidRPr="009627F1" w:rsidP="00D76EF0">
      <w:pPr>
        <w:pStyle w:val="BodyText"/>
      </w:pPr>
      <w:r w:rsidRPr="009627F1">
        <w:t>Assessment must be conducted in the workplace or a simulated workplace using realistic conditions, materials, activities, responsibilities, procedures, safety req</w:t>
      </w:r>
      <w:r w:rsidRPr="009627F1">
        <w:t>uirements and environmental considerations.</w:t>
      </w:r>
    </w:p>
    <w:p w:rsidR="00000000" w:rsidRPr="009627F1" w:rsidP="00D76EF0">
      <w:pPr>
        <w:pStyle w:val="BodyText"/>
      </w:pPr>
      <w:r w:rsidRPr="009627F1">
        <w:t>Candidates must have access to:</w:t>
      </w:r>
    </w:p>
    <w:p w:rsidR="00000000" w:rsidRPr="009627F1" w:rsidP="009627F1">
      <w:pPr>
        <w:pStyle w:val="ListBullet"/>
      </w:pPr>
      <w:r w:rsidRPr="009627F1">
        <w:t xml:space="preserve">industry-standard equipment used to perform the tasks specified in the Performance Evidence </w:t>
      </w:r>
    </w:p>
    <w:p w:rsidR="00000000" w:rsidRPr="009627F1" w:rsidP="009627F1">
      <w:pPr>
        <w:pStyle w:val="ListBullet"/>
      </w:pPr>
      <w:r w:rsidRPr="009627F1">
        <w:t xml:space="preserve">appropriate workplace information and records, including policies, procedures and legislative requirements. </w:t>
      </w:r>
    </w:p>
    <w:p w:rsidR="00000000" w:rsidRPr="009627F1" w:rsidP="009627F1">
      <w:pPr>
        <w:pStyle w:val="AllowPageBreak"/>
      </w:pPr>
    </w:p>
    <w:p w:rsidR="00000000" w:rsidRPr="009627F1" w:rsidP="009627F1">
      <w:pPr>
        <w:pStyle w:val="Heading1"/>
      </w:pPr>
      <w:bookmarkStart w:id="13" w:name="O_1292498"/>
      <w:bookmarkEnd w:id="13"/>
      <w:r w:rsidRPr="009627F1">
        <w:t>Links</w:t>
      </w:r>
    </w:p>
    <w:p w:rsidR="00000000" w:rsidRPr="009627F1" w:rsidP="00D76EF0">
      <w:pPr>
        <w:pStyle w:val="BodyText"/>
      </w:pPr>
      <w:r w:rsidRPr="009627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520D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627F1" w:rsidP="009627F1"/>
    <w:sectPr w:rsidSect="009627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F1" w:rsidRPr="00D76EF0" w:rsidP="00D76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F0" w:rsidP="00962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EF0" w:rsidP="00962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76EF0" w:rsidP="009627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F1" w:rsidP="00962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6EF0">
      <w:t>Approved</w:t>
    </w:r>
    <w:r w:rsidR="00D76E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6E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6EF0">
      <w:rPr>
        <w:noProof/>
      </w:rPr>
      <w:t>4</w:t>
    </w:r>
    <w:r>
      <w:rPr>
        <w:noProof/>
      </w:rPr>
      <w:fldChar w:fldCharType="end"/>
    </w:r>
  </w:p>
  <w:p w:rsidR="009627F1" w:rsidP="00962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6E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6EF0">
      <w:t>BuildSkills Australia</w:t>
    </w:r>
    <w:r w:rsidR="00D76EF0">
      <w:fldChar w:fldCharType="end"/>
    </w:r>
  </w:p>
  <w:p w:rsidR="009627F1" w:rsidP="00962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7F1" w:rsidRPr="00D76EF0" w:rsidP="00D76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F0" w:rsidRPr="002D2AF8" w:rsidP="00962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CPCCSC2001 Handle and position scaffolding tools,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6EF0" w:rsidP="009627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F1" w:rsidRPr="002D2AF8" w:rsidP="00962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6EF0">
      <w:t>CPCCSC2001 Handle and position scaffolding tools, equipment and components</w:t>
    </w:r>
    <w:r w:rsidR="00D76E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6EF0">
      <w:rPr>
        <w:noProof/>
      </w:rPr>
      <w:t>2 March 2025</w:t>
    </w:r>
    <w:r>
      <w:fldChar w:fldCharType="end"/>
    </w:r>
  </w:p>
  <w:p w:rsidR="009627F1" w:rsidP="00962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226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AA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20D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7F1"/>
  </w:style>
  <w:style w:type="character" w:customStyle="1" w:styleId="Heading1Char">
    <w:name w:val="Heading 1 Char"/>
    <w:basedOn w:val="DefaultParagraphFont"/>
    <w:link w:val="Heading1"/>
    <w:rsid w:val="00962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7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7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27F1"/>
    <w:rPr>
      <w:i/>
    </w:rPr>
  </w:style>
  <w:style w:type="paragraph" w:customStyle="1" w:styleId="SuperHeading">
    <w:name w:val="SuperHeading"/>
    <w:basedOn w:val="Normal"/>
    <w:rsid w:val="00962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7F1"/>
    <w:rPr>
      <w:b/>
      <w:spacing w:val="0"/>
    </w:rPr>
  </w:style>
  <w:style w:type="paragraph" w:customStyle="1" w:styleId="SuperTitle">
    <w:name w:val="SuperTitle"/>
    <w:basedOn w:val="Title"/>
    <w:rsid w:val="00962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7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2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7F1"/>
  </w:style>
  <w:style w:type="paragraph" w:styleId="TableofFigures">
    <w:name w:val="table of figures"/>
    <w:basedOn w:val="Normal"/>
    <w:next w:val="Normal"/>
    <w:semiHidden/>
    <w:rsid w:val="00962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7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7F1"/>
    <w:rPr>
      <w:rFonts w:ascii="Wingdings" w:hAnsi="Wingdings"/>
    </w:rPr>
  </w:style>
  <w:style w:type="paragraph" w:customStyle="1" w:styleId="TableHeading">
    <w:name w:val="Table Heading"/>
    <w:basedOn w:val="HeadingBase"/>
    <w:rsid w:val="00962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7F1"/>
    <w:rPr>
      <w:color w:val="0033CC"/>
      <w:u w:val="none"/>
    </w:rPr>
  </w:style>
  <w:style w:type="paragraph" w:customStyle="1" w:styleId="BodyTextRight">
    <w:name w:val="Body Text Right"/>
    <w:basedOn w:val="BodyText"/>
    <w:rsid w:val="00962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7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7F1"/>
    <w:rPr>
      <w:sz w:val="32"/>
    </w:rPr>
  </w:style>
  <w:style w:type="paragraph" w:customStyle="1" w:styleId="HeadingProcedure">
    <w:name w:val="Heading Procedure"/>
    <w:basedOn w:val="HeadingBase"/>
    <w:next w:val="Normal"/>
    <w:rsid w:val="00962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7F1"/>
    <w:pPr>
      <w:spacing w:before="60" w:after="60"/>
    </w:pPr>
  </w:style>
  <w:style w:type="paragraph" w:styleId="ListContinue">
    <w:name w:val="List Continue"/>
    <w:basedOn w:val="List"/>
    <w:rsid w:val="009627F1"/>
    <w:pPr>
      <w:ind w:firstLine="0"/>
    </w:pPr>
  </w:style>
  <w:style w:type="paragraph" w:customStyle="1" w:styleId="ListNote">
    <w:name w:val="List Note"/>
    <w:basedOn w:val="List"/>
    <w:rsid w:val="00962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7F1"/>
    <w:rPr>
      <w:rFonts w:ascii="Courier New" w:hAnsi="Courier New"/>
    </w:rPr>
  </w:style>
  <w:style w:type="paragraph" w:customStyle="1" w:styleId="NoteBullet">
    <w:name w:val="Note Bullet"/>
    <w:basedOn w:val="Note"/>
    <w:rsid w:val="00962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7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7F1"/>
    <w:rPr>
      <w:b/>
      <w:smallCaps/>
    </w:rPr>
  </w:style>
  <w:style w:type="paragraph" w:customStyle="1" w:styleId="TableListNumber">
    <w:name w:val="Table List Number"/>
    <w:basedOn w:val="ListNumber"/>
    <w:rsid w:val="00962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7F1"/>
    <w:pPr>
      <w:numPr>
        <w:numId w:val="9"/>
      </w:numPr>
    </w:pPr>
  </w:style>
  <w:style w:type="paragraph" w:customStyle="1" w:styleId="ListAlpha2">
    <w:name w:val="List Alpha 2"/>
    <w:basedOn w:val="List2"/>
    <w:rsid w:val="009627F1"/>
    <w:pPr>
      <w:numPr>
        <w:numId w:val="8"/>
      </w:numPr>
    </w:pPr>
  </w:style>
  <w:style w:type="paragraph" w:styleId="List2">
    <w:name w:val="List 2"/>
    <w:basedOn w:val="BodyText"/>
    <w:rsid w:val="00962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7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7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7F1"/>
    <w:pPr>
      <w:numPr>
        <w:numId w:val="4"/>
      </w:numPr>
    </w:pPr>
  </w:style>
  <w:style w:type="paragraph" w:styleId="ListContinue2">
    <w:name w:val="List Continue 2"/>
    <w:basedOn w:val="List2"/>
    <w:rsid w:val="009627F1"/>
    <w:pPr>
      <w:ind w:firstLine="0"/>
    </w:pPr>
  </w:style>
  <w:style w:type="paragraph" w:styleId="ListContinue3">
    <w:name w:val="List Continue 3"/>
    <w:basedOn w:val="List3"/>
    <w:rsid w:val="009627F1"/>
    <w:pPr>
      <w:ind w:left="1021" w:firstLine="0"/>
    </w:pPr>
  </w:style>
  <w:style w:type="paragraph" w:styleId="ListContinue4">
    <w:name w:val="List Continue 4"/>
    <w:basedOn w:val="List4"/>
    <w:rsid w:val="009627F1"/>
    <w:pPr>
      <w:ind w:firstLine="0"/>
    </w:pPr>
  </w:style>
  <w:style w:type="paragraph" w:styleId="ListContinue5">
    <w:name w:val="List Continue 5"/>
    <w:basedOn w:val="List5"/>
    <w:rsid w:val="009627F1"/>
    <w:pPr>
      <w:ind w:firstLine="0"/>
    </w:pPr>
  </w:style>
  <w:style w:type="paragraph" w:styleId="ListNumber3">
    <w:name w:val="List Number 3"/>
    <w:basedOn w:val="List3"/>
    <w:rsid w:val="009627F1"/>
    <w:pPr>
      <w:numPr>
        <w:numId w:val="5"/>
      </w:numPr>
    </w:pPr>
  </w:style>
  <w:style w:type="paragraph" w:styleId="ListNumber4">
    <w:name w:val="List Number 4"/>
    <w:basedOn w:val="List4"/>
    <w:rsid w:val="009627F1"/>
    <w:pPr>
      <w:numPr>
        <w:numId w:val="6"/>
      </w:numPr>
    </w:pPr>
  </w:style>
  <w:style w:type="paragraph" w:styleId="ListNumber5">
    <w:name w:val="List Number 5"/>
    <w:basedOn w:val="List5"/>
    <w:rsid w:val="009627F1"/>
    <w:pPr>
      <w:numPr>
        <w:numId w:val="7"/>
      </w:numPr>
    </w:pPr>
  </w:style>
  <w:style w:type="paragraph" w:styleId="BlockText">
    <w:name w:val="Block Text"/>
    <w:basedOn w:val="Normal"/>
    <w:rsid w:val="00962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7F1"/>
    <w:rPr>
      <w:sz w:val="16"/>
      <w:vertAlign w:val="superscript"/>
    </w:rPr>
  </w:style>
  <w:style w:type="character" w:customStyle="1" w:styleId="Symbols">
    <w:name w:val="Symbols"/>
    <w:basedOn w:val="DefaultParagraphFont"/>
    <w:rsid w:val="009627F1"/>
    <w:rPr>
      <w:rFonts w:ascii="Symbol" w:hAnsi="Symbol"/>
    </w:rPr>
  </w:style>
  <w:style w:type="character" w:customStyle="1" w:styleId="MenuOptions">
    <w:name w:val="Menu Options"/>
    <w:basedOn w:val="DefaultParagraphFont"/>
    <w:rsid w:val="00962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7F1"/>
    <w:rPr>
      <w:b/>
    </w:rPr>
  </w:style>
  <w:style w:type="character" w:customStyle="1" w:styleId="Underlined">
    <w:name w:val="Underlined"/>
    <w:basedOn w:val="DefaultParagraphFont"/>
    <w:rsid w:val="009627F1"/>
    <w:rPr>
      <w:u w:val="single"/>
    </w:rPr>
  </w:style>
  <w:style w:type="paragraph" w:customStyle="1" w:styleId="TableBodyTextRight">
    <w:name w:val="Table Body Text Right"/>
    <w:basedOn w:val="TableBodyText"/>
    <w:rsid w:val="00962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7F1"/>
    <w:rPr>
      <w:sz w:val="18"/>
    </w:rPr>
  </w:style>
  <w:style w:type="paragraph" w:customStyle="1" w:styleId="BodySmallRight">
    <w:name w:val="Body Small Right"/>
    <w:basedOn w:val="BodyTextRight"/>
    <w:rsid w:val="009627F1"/>
    <w:rPr>
      <w:sz w:val="18"/>
      <w:szCs w:val="18"/>
    </w:rPr>
  </w:style>
  <w:style w:type="paragraph" w:customStyle="1" w:styleId="MarginEdition">
    <w:name w:val="Margin Edition"/>
    <w:basedOn w:val="MarginNote"/>
    <w:rsid w:val="00962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7F1"/>
    <w:rPr>
      <w:sz w:val="2"/>
      <w:szCs w:val="2"/>
    </w:rPr>
  </w:style>
  <w:style w:type="character" w:customStyle="1" w:styleId="Small">
    <w:name w:val="Small"/>
    <w:basedOn w:val="DefaultParagraphFont"/>
    <w:rsid w:val="009627F1"/>
    <w:rPr>
      <w:sz w:val="16"/>
    </w:rPr>
  </w:style>
  <w:style w:type="paragraph" w:customStyle="1" w:styleId="WideTable">
    <w:name w:val="Wide Table"/>
    <w:basedOn w:val="Normal"/>
    <w:rsid w:val="00962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7F1"/>
  </w:style>
  <w:style w:type="paragraph" w:styleId="Quote">
    <w:name w:val="Quote"/>
    <w:basedOn w:val="Heading1"/>
    <w:link w:val="QuoteChar"/>
    <w:qFormat/>
    <w:rsid w:val="00962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7F1"/>
    <w:pPr>
      <w:pageBreakBefore/>
    </w:pPr>
  </w:style>
  <w:style w:type="paragraph" w:customStyle="1" w:styleId="Border">
    <w:name w:val="Border"/>
    <w:basedOn w:val="Normal"/>
    <w:qFormat/>
    <w:rsid w:val="00962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7F1"/>
    <w:rPr>
      <w:u w:val="single"/>
    </w:rPr>
  </w:style>
  <w:style w:type="character" w:customStyle="1" w:styleId="BoldandItalics">
    <w:name w:val="Bold and Italics"/>
    <w:qFormat/>
    <w:rsid w:val="009627F1"/>
    <w:rPr>
      <w:b/>
      <w:i/>
      <w:u w:val="none"/>
    </w:rPr>
  </w:style>
  <w:style w:type="paragraph" w:styleId="BalloonText">
    <w:name w:val="Balloon Text"/>
    <w:basedOn w:val="Normal"/>
    <w:link w:val="BalloonTextChar"/>
    <w:rsid w:val="00962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7F1"/>
    <w:pPr>
      <w:spacing w:before="0" w:after="0"/>
    </w:pPr>
  </w:style>
  <w:style w:type="paragraph" w:customStyle="1" w:styleId="BodyTextBold">
    <w:name w:val="Body Text Bold"/>
    <w:basedOn w:val="BodyText"/>
    <w:qFormat/>
    <w:rsid w:val="009627F1"/>
    <w:rPr>
      <w:b/>
    </w:rPr>
  </w:style>
  <w:style w:type="character" w:styleId="Hyperlink">
    <w:name w:val="Hyperlink"/>
    <w:basedOn w:val="DefaultParagraphFont"/>
    <w:uiPriority w:val="99"/>
    <w:unhideWhenUsed/>
    <w:rsid w:val="00D76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5622</Characters>
  <Application>Microsoft Office Word</Application>
  <DocSecurity>0</DocSecurity>
  <Lines>208</Lines>
  <Paragraphs>111</Paragraphs>
  <ScaleCrop>false</ScaleCrop>
  <Company>Author-it Software Corporation Ltd.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CPCCSC2001 Handle and position scaffolding tools, equipment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