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920" w:rsidP="007D09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CPCCRI3013 Perform intermediate rigging</w:t>
      </w:r>
      <w:r>
        <w:fldChar w:fldCharType="end"/>
      </w:r>
    </w:p>
    <w:p w:rsidR="007D0920" w:rsidP="007D0920">
      <w:pPr>
        <w:pStyle w:val="Version"/>
        <w:sectPr w:rsidSect="00A10E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10ED2" w:rsidP="00A10ED2">
      <w:pPr>
        <w:pStyle w:val="SuperHeading"/>
      </w:pPr>
      <w:r w:rsidRPr="00A10ED2">
        <w:t>CPCCRI3013 Perform intermediate rigging</w:t>
      </w:r>
    </w:p>
    <w:p w:rsidR="00000000" w:rsidRPr="00A10ED2" w:rsidP="00A10ED2">
      <w:pPr>
        <w:pStyle w:val="Heading1"/>
      </w:pPr>
      <w:bookmarkStart w:id="1" w:name="O_1292688"/>
      <w:bookmarkEnd w:id="1"/>
      <w:r w:rsidRPr="00A10E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Updated reference to general construction induction training program.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ED2" w:rsidP="00A10ED2">
            <w:pPr>
              <w:pStyle w:val="BodyText"/>
            </w:pPr>
            <w:r w:rsidRPr="00A10ED2">
              <w:t>This version first released with CPC Construction, Plumbing and Services Training Package Release 5.1.</w:t>
            </w:r>
          </w:p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Correction to Unit Mapping.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ED2" w:rsidP="00A10ED2">
            <w:pPr>
              <w:pStyle w:val="BodyText"/>
            </w:pPr>
            <w:r w:rsidRPr="00A10ED2">
              <w:t>Th</w:t>
            </w:r>
            <w:r w:rsidRPr="00A10ED2">
              <w:t>is version first released with CPC Construction, Plumbing and Services Training Package Release 5.0.</w:t>
            </w:r>
          </w:p>
          <w:p w:rsidR="00000000" w:rsidRPr="00A10ED2" w:rsidP="00A10ED2">
            <w:pPr>
              <w:pStyle w:val="BodyText"/>
            </w:pPr>
            <w:r w:rsidRPr="00A10ED2">
              <w:t>Supersedes and is equivalent to CPCCRI3013A Perform intermediate rigging.  Unit mapping corrected.  Updated to meet the Standards for Training Packages 201</w:t>
            </w:r>
            <w:r w:rsidRPr="00A10ED2">
              <w:t>2.</w:t>
            </w:r>
          </w:p>
        </w:tc>
      </w:tr>
    </w:tbl>
    <w:p w:rsidR="00000000" w:rsidRPr="00A10ED2" w:rsidP="00A10ED2">
      <w:pPr>
        <w:pStyle w:val="BodyText"/>
      </w:pPr>
    </w:p>
    <w:p w:rsidR="00000000" w:rsidRPr="00A10ED2" w:rsidP="00A10ED2">
      <w:pPr>
        <w:pStyle w:val="AllowPageBreak"/>
      </w:pPr>
    </w:p>
    <w:p w:rsidR="00000000" w:rsidRPr="00A10ED2" w:rsidP="00A10ED2">
      <w:pPr>
        <w:pStyle w:val="Heading1"/>
      </w:pPr>
      <w:bookmarkStart w:id="2" w:name="O_1292687"/>
      <w:bookmarkEnd w:id="2"/>
      <w:r w:rsidRPr="00A10ED2">
        <w:t>Application</w:t>
      </w:r>
    </w:p>
    <w:p w:rsidR="00000000" w:rsidRPr="00A10ED2" w:rsidP="007D0920">
      <w:pPr>
        <w:pStyle w:val="BodyText"/>
      </w:pPr>
      <w:r w:rsidRPr="00A10ED2">
        <w:t>This unit specifies the skills and knowledge required to use intermediate rigging techniques to move and position loads including cranes and precast tilt-up slabs. It includes load distribution and calculation.</w:t>
      </w:r>
    </w:p>
    <w:p w:rsidR="00000000" w:rsidRPr="00A10ED2" w:rsidP="007D0920">
      <w:pPr>
        <w:pStyle w:val="BodyText"/>
      </w:pPr>
      <w:r w:rsidRPr="00A10ED2">
        <w:t>It applie</w:t>
      </w:r>
      <w:r w:rsidRPr="00A10ED2">
        <w:t>s to workers who perform rigging duties and who would be expected to take responsibility for organising and completing these tasks with a high degree of self direction.</w:t>
      </w:r>
    </w:p>
    <w:p w:rsidR="00000000" w:rsidRPr="00A10ED2" w:rsidP="007D0920">
      <w:pPr>
        <w:pStyle w:val="BodyText"/>
      </w:pPr>
      <w:r w:rsidRPr="00A10ED2">
        <w:t>Completion of the general construction induction training program, specified in the Saf</w:t>
      </w:r>
      <w:r w:rsidRPr="00A10ED2">
        <w:t xml:space="preserve">e Work Australia model </w:t>
      </w:r>
      <w:r w:rsidRPr="00A10ED2">
        <w:rPr>
          <w:rStyle w:val="Emphasis"/>
        </w:rPr>
        <w:t>Code of Practice: Construction Work</w:t>
      </w:r>
      <w:r w:rsidRPr="00A10ED2">
        <w:t xml:space="preserve">, is required by anyone carrying out construction work. Achievement of </w:t>
      </w:r>
      <w:r w:rsidRPr="00A10ED2">
        <w:rPr>
          <w:rStyle w:val="Emphasis"/>
        </w:rPr>
        <w:t>CPCWHS1001 Prepare to work safely in the construction industry</w:t>
      </w:r>
      <w:r w:rsidRPr="00A10ED2">
        <w:t xml:space="preserve"> meets this requirement.</w:t>
      </w:r>
    </w:p>
    <w:p w:rsidR="00000000" w:rsidRPr="00A10ED2" w:rsidP="007D0920">
      <w:pPr>
        <w:pStyle w:val="BodyText"/>
      </w:pPr>
      <w:r w:rsidRPr="00A10ED2">
        <w:t>Licensing, legislative, regulatory or ce</w:t>
      </w:r>
      <w:r w:rsidRPr="00A10ED2">
        <w:t>rtification requirements apply to this unit of competency in some states and territories. For further information, check with the relevant regulatory authority.</w:t>
      </w:r>
    </w:p>
    <w:p w:rsidR="00000000" w:rsidRPr="00A10ED2" w:rsidP="00A10ED2">
      <w:pPr>
        <w:pStyle w:val="Heading1"/>
      </w:pPr>
      <w:bookmarkStart w:id="3" w:name="O_1292686"/>
      <w:bookmarkEnd w:id="3"/>
      <w:r w:rsidRPr="00A10ED2">
        <w:t>Pre-requisite Unit</w:t>
      </w:r>
    </w:p>
    <w:p w:rsidR="00000000" w:rsidRPr="00A10ED2" w:rsidP="007D0920">
      <w:pPr>
        <w:pStyle w:val="BodyText"/>
      </w:pPr>
      <w:r w:rsidRPr="00A10ED2">
        <w:t>CPCCWHS2001 Apply WHS requirements, policies and procedures in the construction industry</w:t>
      </w:r>
    </w:p>
    <w:p w:rsidR="00000000" w:rsidRPr="00A10ED2" w:rsidP="00A10ED2">
      <w:pPr>
        <w:pStyle w:val="Heading1"/>
      </w:pPr>
      <w:bookmarkStart w:id="4" w:name="O_1292685"/>
      <w:bookmarkEnd w:id="4"/>
      <w:r w:rsidRPr="00A10ED2">
        <w:t>Unit Sector</w:t>
      </w:r>
    </w:p>
    <w:p w:rsidR="00000000" w:rsidRPr="00A10ED2" w:rsidP="007D0920">
      <w:pPr>
        <w:pStyle w:val="BodyText"/>
      </w:pPr>
      <w:r w:rsidRPr="00A10ED2">
        <w:t>Construction</w:t>
      </w:r>
    </w:p>
    <w:p w:rsidR="00000000" w:rsidRPr="00A10ED2" w:rsidP="00A10ED2">
      <w:pPr>
        <w:pStyle w:val="Heading1"/>
      </w:pPr>
      <w:bookmarkStart w:id="5" w:name="O_1292684"/>
      <w:bookmarkEnd w:id="5"/>
      <w:r w:rsidRPr="00A10E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Performance criteria descri</w:t>
            </w:r>
            <w:r w:rsidRPr="00A10ED2">
              <w:t>be what needs to be done to demonstrate achievement of the element.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Plan and prepare to perform intermediate rigging.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Interpret work instructions and associated documentation and clarify requirements with relevant persons.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Plan all work to comply with relevant legislation, regulations, standards, codes, work health and safety, environmental and workplace requirements.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Erect required safety signage and barricades and select and fit personal protective equipment (PPE) a</w:t>
            </w:r>
            <w:r w:rsidRPr="00A10ED2">
              <w:t>ppropriate for work activities.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Select and check intermediate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Select resources, materials and equipment in accordance with load charts, and inspect for compliance with work instructions.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Inspect lifting equipment in accordance with manufacturer and workplace requirements.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Label, reject and dispose of any lifting equipment identified as inconsistent with manufacturer requirements, to prevent its use in any circumstance.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Determine and select elevated work platforms and other means of mechanical access systems as specified.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Install fall arrest equipment with ground level installation.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Determine and select personnel cartage systems.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Connect intermediate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Calculate and confirm load mass and load distribution.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Sling loads to ensure encapsulation of whole load.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Sling part loads to ensure full encapsulation of a part load.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Sling whole or part loads to protect loads and secure to prevent uncontrolled movement.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 xml:space="preserve">Attach load steerage lines and use to prevent unnecessary </w:t>
            </w:r>
            <w:r w:rsidRPr="00A10ED2">
              <w:t>load movement.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Move and position loads using intermediate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Determine load lifting/shifting order to minimise necessity for double lifts.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Connect lifting/shifting equipment to load.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Perform test lift/shift to ensure lift suitability.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Move load safely to required destination and secure in position in accordance with work instructions and workplace requirements.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Use standard communication signals to coordinate safe movement of load.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Remove intermediate rigging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Dismantle lifting/moving equipment and packing, return to resting position and inspect for wear.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Complete logbook and site records in accordance with workplace requirements.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Clear work area and dispose of, reuse or recycle materials in accordance with regulatory and workplace requirements.</w:t>
            </w:r>
          </w:p>
        </w:tc>
      </w:tr>
      <w:tr w:rsidTr="00A10E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ED2">
            <w:pPr>
              <w:pStyle w:val="BodyText"/>
              <w:rPr>
                <w:lang w:val="en-NZ"/>
              </w:rPr>
            </w:pPr>
            <w:r w:rsidRPr="00A10ED2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ED2" w:rsidP="00A10ED2">
            <w:pPr>
              <w:pStyle w:val="BodyText"/>
            </w:pPr>
            <w:r w:rsidRPr="00A10ED2">
              <w:t>Clean, check, maintain and store tools and equipment in accordance with manufacturer and workplace requirements.</w:t>
            </w:r>
          </w:p>
        </w:tc>
      </w:tr>
    </w:tbl>
    <w:p w:rsidR="00000000" w:rsidRPr="00A10ED2" w:rsidP="00A10ED2">
      <w:pPr>
        <w:pStyle w:val="BodyText"/>
      </w:pPr>
    </w:p>
    <w:p w:rsidR="00000000" w:rsidRPr="00A10ED2" w:rsidP="00A10ED2">
      <w:pPr>
        <w:pStyle w:val="AllowPageBreak"/>
      </w:pPr>
    </w:p>
    <w:p w:rsidR="00000000" w:rsidRPr="00A10ED2" w:rsidP="00A10ED2">
      <w:pPr>
        <w:pStyle w:val="Heading1"/>
      </w:pPr>
      <w:bookmarkStart w:id="6" w:name="O_1292683"/>
      <w:bookmarkEnd w:id="6"/>
      <w:r w:rsidRPr="00A10ED2">
        <w:t>Foundation Skills</w:t>
      </w:r>
    </w:p>
    <w:p w:rsidR="00000000" w:rsidRPr="00A10ED2" w:rsidP="007D0920">
      <w:pPr>
        <w:pStyle w:val="BodyText"/>
      </w:pPr>
      <w:r w:rsidRPr="00A10ED2">
        <w:t xml:space="preserve">Foundation skills essential to performance are explicit in the performance criteria of this unit of competency. </w:t>
      </w:r>
    </w:p>
    <w:p w:rsidR="00000000" w:rsidRPr="00A10ED2" w:rsidP="00A10ED2">
      <w:pPr>
        <w:pStyle w:val="Heading1"/>
      </w:pPr>
      <w:bookmarkStart w:id="7" w:name="O_1292682"/>
      <w:bookmarkEnd w:id="7"/>
      <w:r w:rsidRPr="00A10ED2">
        <w:t>Unit Mapping Information</w:t>
      </w:r>
    </w:p>
    <w:p w:rsidR="00000000" w:rsidRPr="00A10ED2" w:rsidP="007D0920">
      <w:pPr>
        <w:pStyle w:val="BodyText"/>
      </w:pPr>
      <w:r w:rsidRPr="00A10ED2">
        <w:t>Supersedes and is equivalent to CPCCRI3013A Perform intermediate rigging</w:t>
      </w:r>
      <w:r w:rsidRPr="00A10ED2">
        <w:t>.</w:t>
      </w:r>
    </w:p>
    <w:p w:rsidR="00000000" w:rsidRPr="00A10ED2" w:rsidP="00A10ED2">
      <w:pPr>
        <w:pStyle w:val="Heading1"/>
      </w:pPr>
      <w:bookmarkStart w:id="8" w:name="O_1292689"/>
      <w:bookmarkEnd w:id="8"/>
      <w:r w:rsidRPr="00A10ED2">
        <w:t>Links</w:t>
      </w:r>
    </w:p>
    <w:p w:rsidR="00000000" w:rsidRPr="00A10ED2" w:rsidP="007D0920">
      <w:pPr>
        <w:pStyle w:val="BodyText"/>
      </w:pPr>
      <w:r w:rsidRPr="00A10ED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161E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10ED2" w:rsidP="00A10ED2"/>
    <w:sectPr w:rsidSect="00A10E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E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ED2" w:rsidRPr="007D0920" w:rsidP="007D09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E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920" w:rsidP="00A10E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0920" w:rsidP="00A10E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D0920" w:rsidP="00A10E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E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9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ED2" w:rsidRPr="007D0920" w:rsidP="007D09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E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920" w:rsidRPr="002D2AF8" w:rsidP="00A10E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CPCCRI3013 Perform intermediate rigging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D0920" w:rsidP="00A10E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E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E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E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E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E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E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E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E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E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E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E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ED2"/>
  </w:style>
  <w:style w:type="character" w:customStyle="1" w:styleId="Heading1Char">
    <w:name w:val="Heading 1 Char"/>
    <w:basedOn w:val="DefaultParagraphFont"/>
    <w:link w:val="Heading1"/>
    <w:rsid w:val="00A10E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E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ED2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10ED2"/>
    <w:rPr>
      <w:i/>
    </w:rPr>
  </w:style>
  <w:style w:type="paragraph" w:customStyle="1" w:styleId="SuperHeading">
    <w:name w:val="SuperHeading"/>
    <w:basedOn w:val="Normal"/>
    <w:rsid w:val="00A10E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E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0E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E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E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E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E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E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E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E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E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E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E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E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E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E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E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E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0E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0E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0E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0ED2"/>
    <w:rPr>
      <w:b/>
      <w:spacing w:val="0"/>
    </w:rPr>
  </w:style>
  <w:style w:type="paragraph" w:customStyle="1" w:styleId="SuperTitle">
    <w:name w:val="SuperTitle"/>
    <w:basedOn w:val="Title"/>
    <w:rsid w:val="00A10E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E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E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0E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0E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E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E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E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E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E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E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E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ED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0E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E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E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ED2"/>
  </w:style>
  <w:style w:type="paragraph" w:styleId="TableofFigures">
    <w:name w:val="table of figures"/>
    <w:basedOn w:val="Normal"/>
    <w:next w:val="Normal"/>
    <w:semiHidden/>
    <w:rsid w:val="00A10E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E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0ED2"/>
    <w:rPr>
      <w:rFonts w:ascii="Wingdings" w:hAnsi="Wingdings"/>
    </w:rPr>
  </w:style>
  <w:style w:type="paragraph" w:customStyle="1" w:styleId="TableHeading">
    <w:name w:val="Table Heading"/>
    <w:basedOn w:val="HeadingBase"/>
    <w:rsid w:val="00A10E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ED2"/>
    <w:rPr>
      <w:color w:val="0033CC"/>
      <w:u w:val="none"/>
    </w:rPr>
  </w:style>
  <w:style w:type="paragraph" w:customStyle="1" w:styleId="BodyTextRight">
    <w:name w:val="Body Text Right"/>
    <w:basedOn w:val="BodyText"/>
    <w:rsid w:val="00A10E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E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E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E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E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E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ED2"/>
    <w:rPr>
      <w:sz w:val="32"/>
    </w:rPr>
  </w:style>
  <w:style w:type="paragraph" w:customStyle="1" w:styleId="HeadingProcedure">
    <w:name w:val="Heading Procedure"/>
    <w:basedOn w:val="HeadingBase"/>
    <w:next w:val="Normal"/>
    <w:rsid w:val="00A10E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ED2"/>
    <w:pPr>
      <w:spacing w:before="60" w:after="60"/>
    </w:pPr>
  </w:style>
  <w:style w:type="paragraph" w:styleId="ListContinue">
    <w:name w:val="List Continue"/>
    <w:basedOn w:val="List"/>
    <w:rsid w:val="00A10ED2"/>
    <w:pPr>
      <w:ind w:firstLine="0"/>
    </w:pPr>
  </w:style>
  <w:style w:type="paragraph" w:customStyle="1" w:styleId="ListNote">
    <w:name w:val="List Note"/>
    <w:basedOn w:val="List"/>
    <w:rsid w:val="00A10E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E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E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ED2"/>
    <w:rPr>
      <w:rFonts w:ascii="Courier New" w:hAnsi="Courier New"/>
    </w:rPr>
  </w:style>
  <w:style w:type="paragraph" w:customStyle="1" w:styleId="NoteBullet">
    <w:name w:val="Note Bullet"/>
    <w:basedOn w:val="Note"/>
    <w:rsid w:val="00A10E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E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E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E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E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0E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E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ED2"/>
    <w:rPr>
      <w:b/>
      <w:smallCaps/>
    </w:rPr>
  </w:style>
  <w:style w:type="paragraph" w:customStyle="1" w:styleId="TableListNumber">
    <w:name w:val="Table List Number"/>
    <w:basedOn w:val="ListNumber"/>
    <w:rsid w:val="00A10E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E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ED2"/>
    <w:pPr>
      <w:numPr>
        <w:numId w:val="7"/>
      </w:numPr>
    </w:pPr>
  </w:style>
  <w:style w:type="paragraph" w:customStyle="1" w:styleId="ListAlpha2">
    <w:name w:val="List Alpha 2"/>
    <w:basedOn w:val="List2"/>
    <w:rsid w:val="00A10ED2"/>
    <w:pPr>
      <w:numPr>
        <w:numId w:val="6"/>
      </w:numPr>
    </w:pPr>
  </w:style>
  <w:style w:type="paragraph" w:styleId="List2">
    <w:name w:val="List 2"/>
    <w:basedOn w:val="BodyText"/>
    <w:rsid w:val="00A10E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E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E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E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E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E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0ED2"/>
    <w:pPr>
      <w:numPr>
        <w:numId w:val="2"/>
      </w:numPr>
    </w:pPr>
  </w:style>
  <w:style w:type="paragraph" w:styleId="ListContinue2">
    <w:name w:val="List Continue 2"/>
    <w:basedOn w:val="List2"/>
    <w:rsid w:val="00A10ED2"/>
    <w:pPr>
      <w:ind w:firstLine="0"/>
    </w:pPr>
  </w:style>
  <w:style w:type="paragraph" w:styleId="ListContinue3">
    <w:name w:val="List Continue 3"/>
    <w:basedOn w:val="List3"/>
    <w:rsid w:val="00A10ED2"/>
    <w:pPr>
      <w:ind w:left="1021" w:firstLine="0"/>
    </w:pPr>
  </w:style>
  <w:style w:type="paragraph" w:styleId="ListContinue4">
    <w:name w:val="List Continue 4"/>
    <w:basedOn w:val="List4"/>
    <w:rsid w:val="00A10ED2"/>
    <w:pPr>
      <w:ind w:firstLine="0"/>
    </w:pPr>
  </w:style>
  <w:style w:type="paragraph" w:styleId="ListContinue5">
    <w:name w:val="List Continue 5"/>
    <w:basedOn w:val="List5"/>
    <w:rsid w:val="00A10ED2"/>
    <w:pPr>
      <w:ind w:firstLine="0"/>
    </w:pPr>
  </w:style>
  <w:style w:type="paragraph" w:styleId="ListNumber3">
    <w:name w:val="List Number 3"/>
    <w:basedOn w:val="List3"/>
    <w:rsid w:val="00A10ED2"/>
    <w:pPr>
      <w:numPr>
        <w:numId w:val="3"/>
      </w:numPr>
    </w:pPr>
  </w:style>
  <w:style w:type="paragraph" w:styleId="ListNumber4">
    <w:name w:val="List Number 4"/>
    <w:basedOn w:val="List4"/>
    <w:rsid w:val="00A10ED2"/>
    <w:pPr>
      <w:numPr>
        <w:numId w:val="4"/>
      </w:numPr>
    </w:pPr>
  </w:style>
  <w:style w:type="paragraph" w:styleId="ListNumber5">
    <w:name w:val="List Number 5"/>
    <w:basedOn w:val="List5"/>
    <w:rsid w:val="00A10ED2"/>
    <w:pPr>
      <w:numPr>
        <w:numId w:val="5"/>
      </w:numPr>
    </w:pPr>
  </w:style>
  <w:style w:type="paragraph" w:styleId="BlockText">
    <w:name w:val="Block Text"/>
    <w:basedOn w:val="Normal"/>
    <w:rsid w:val="00A10E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E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ED2"/>
    <w:rPr>
      <w:sz w:val="16"/>
      <w:vertAlign w:val="superscript"/>
    </w:rPr>
  </w:style>
  <w:style w:type="character" w:customStyle="1" w:styleId="Symbols">
    <w:name w:val="Symbols"/>
    <w:basedOn w:val="DefaultParagraphFont"/>
    <w:rsid w:val="00A10ED2"/>
    <w:rPr>
      <w:rFonts w:ascii="Symbol" w:hAnsi="Symbol"/>
    </w:rPr>
  </w:style>
  <w:style w:type="character" w:customStyle="1" w:styleId="MenuOptions">
    <w:name w:val="Menu Options"/>
    <w:basedOn w:val="DefaultParagraphFont"/>
    <w:rsid w:val="00A10E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ED2"/>
    <w:rPr>
      <w:b/>
    </w:rPr>
  </w:style>
  <w:style w:type="character" w:customStyle="1" w:styleId="Underlined">
    <w:name w:val="Underlined"/>
    <w:basedOn w:val="DefaultParagraphFont"/>
    <w:rsid w:val="00A10ED2"/>
    <w:rPr>
      <w:u w:val="single"/>
    </w:rPr>
  </w:style>
  <w:style w:type="paragraph" w:customStyle="1" w:styleId="TableBodyTextRight">
    <w:name w:val="Table Body Text Right"/>
    <w:basedOn w:val="TableBodyText"/>
    <w:rsid w:val="00A10E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ED2"/>
    <w:rPr>
      <w:sz w:val="18"/>
    </w:rPr>
  </w:style>
  <w:style w:type="paragraph" w:customStyle="1" w:styleId="BodySmallRight">
    <w:name w:val="Body Small Right"/>
    <w:basedOn w:val="BodyTextRight"/>
    <w:rsid w:val="00A10ED2"/>
    <w:rPr>
      <w:sz w:val="18"/>
      <w:szCs w:val="18"/>
    </w:rPr>
  </w:style>
  <w:style w:type="paragraph" w:customStyle="1" w:styleId="MarginEdition">
    <w:name w:val="Margin Edition"/>
    <w:basedOn w:val="MarginNote"/>
    <w:rsid w:val="00A10E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ED2"/>
    <w:rPr>
      <w:sz w:val="2"/>
      <w:szCs w:val="2"/>
    </w:rPr>
  </w:style>
  <w:style w:type="character" w:customStyle="1" w:styleId="Small">
    <w:name w:val="Small"/>
    <w:basedOn w:val="DefaultParagraphFont"/>
    <w:rsid w:val="00A10ED2"/>
    <w:rPr>
      <w:sz w:val="16"/>
    </w:rPr>
  </w:style>
  <w:style w:type="paragraph" w:customStyle="1" w:styleId="WideTable">
    <w:name w:val="Wide Table"/>
    <w:basedOn w:val="Normal"/>
    <w:rsid w:val="00A10E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ED2"/>
  </w:style>
  <w:style w:type="paragraph" w:styleId="Quote">
    <w:name w:val="Quote"/>
    <w:basedOn w:val="Heading1"/>
    <w:link w:val="QuoteChar"/>
    <w:qFormat/>
    <w:rsid w:val="00A10E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E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ED2"/>
    <w:pPr>
      <w:pageBreakBefore/>
    </w:pPr>
  </w:style>
  <w:style w:type="paragraph" w:customStyle="1" w:styleId="Border">
    <w:name w:val="Border"/>
    <w:basedOn w:val="Normal"/>
    <w:qFormat/>
    <w:rsid w:val="00A10E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E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E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E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E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E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E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E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E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ED2"/>
    <w:rPr>
      <w:u w:val="single"/>
    </w:rPr>
  </w:style>
  <w:style w:type="character" w:customStyle="1" w:styleId="BoldandItalics">
    <w:name w:val="Bold and Italics"/>
    <w:qFormat/>
    <w:rsid w:val="00A10ED2"/>
    <w:rPr>
      <w:b/>
      <w:i/>
      <w:u w:val="none"/>
    </w:rPr>
  </w:style>
  <w:style w:type="paragraph" w:styleId="BalloonText">
    <w:name w:val="Balloon Text"/>
    <w:basedOn w:val="Normal"/>
    <w:link w:val="BalloonTextChar"/>
    <w:rsid w:val="00A10E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E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E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E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E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E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ED2"/>
    <w:pPr>
      <w:spacing w:before="0" w:after="0"/>
    </w:pPr>
  </w:style>
  <w:style w:type="paragraph" w:customStyle="1" w:styleId="BodyTextBold">
    <w:name w:val="Body Text Bold"/>
    <w:basedOn w:val="BodyText"/>
    <w:qFormat/>
    <w:rsid w:val="00A10ED2"/>
    <w:rPr>
      <w:b/>
    </w:rPr>
  </w:style>
  <w:style w:type="character" w:styleId="Hyperlink">
    <w:name w:val="Hyperlink"/>
    <w:basedOn w:val="DefaultParagraphFont"/>
    <w:uiPriority w:val="99"/>
    <w:unhideWhenUsed/>
    <w:rsid w:val="007D09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4216</Characters>
  <Application>Microsoft Office Word</Application>
  <DocSecurity>0</DocSecurity>
  <Lines>200</Lines>
  <Paragraphs>106</Paragraphs>
  <ScaleCrop>false</ScaleCrop>
  <Company>Author-it Software Corporation Ltd.</Company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CPCCRI3013 Perform intermediate rigging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