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42D" w:rsidP="009B7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CPCCRI3012 Perform basic rigging</w:t>
      </w:r>
      <w:r>
        <w:fldChar w:fldCharType="end"/>
      </w:r>
    </w:p>
    <w:p w:rsidR="009B742D" w:rsidP="009B742D">
      <w:pPr>
        <w:pStyle w:val="Version"/>
        <w:sectPr w:rsidSect="00606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6DE1" w:rsidP="00606DE1">
      <w:pPr>
        <w:pStyle w:val="SuperHeading"/>
      </w:pPr>
      <w:r w:rsidRPr="00606DE1">
        <w:t>CPCCRI3012 Perform basic rigging</w:t>
      </w:r>
    </w:p>
    <w:p w:rsidR="00000000" w:rsidRPr="00606DE1" w:rsidP="00606DE1">
      <w:pPr>
        <w:pStyle w:val="Heading1"/>
      </w:pPr>
      <w:bookmarkStart w:id="1" w:name="O_1292704"/>
      <w:bookmarkEnd w:id="1"/>
      <w:r w:rsidRPr="00606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Updated reference to general construction induction training program.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DE1" w:rsidP="00606DE1">
            <w:pPr>
              <w:pStyle w:val="BodyText"/>
            </w:pPr>
            <w:r w:rsidRPr="00606DE1">
              <w:t>This version first released with CPC Construction, Plumbing and Services Training Package Release 5.0.</w:t>
            </w:r>
          </w:p>
          <w:p w:rsidR="00000000" w:rsidRPr="00606DE1" w:rsidP="00606DE1">
            <w:pPr>
              <w:pStyle w:val="BodyText"/>
            </w:pPr>
            <w:r w:rsidRPr="00606DE1">
              <w:t>Supersedes and is equivalent to CPCCRI301</w:t>
            </w:r>
            <w:r w:rsidRPr="00606DE1">
              <w:t>2A Perform basic rigging.  Updated to meet the Standards for Training Packages 2012.</w:t>
            </w:r>
          </w:p>
        </w:tc>
      </w:tr>
    </w:tbl>
    <w:p w:rsidR="00000000" w:rsidRPr="00606DE1" w:rsidP="00606DE1">
      <w:pPr>
        <w:pStyle w:val="BodyText"/>
      </w:pPr>
    </w:p>
    <w:p w:rsidR="00000000" w:rsidRPr="00606DE1" w:rsidP="00606DE1">
      <w:pPr>
        <w:pStyle w:val="AllowPageBreak"/>
      </w:pPr>
    </w:p>
    <w:p w:rsidR="00000000" w:rsidRPr="00606DE1" w:rsidP="00606DE1">
      <w:pPr>
        <w:pStyle w:val="Heading1"/>
      </w:pPr>
      <w:bookmarkStart w:id="2" w:name="O_1292703"/>
      <w:bookmarkEnd w:id="2"/>
      <w:r w:rsidRPr="00606DE1">
        <w:t>Application</w:t>
      </w:r>
    </w:p>
    <w:p w:rsidR="00000000" w:rsidRPr="00606DE1" w:rsidP="009B742D">
      <w:pPr>
        <w:pStyle w:val="BodyText"/>
      </w:pPr>
      <w:r w:rsidRPr="00606DE1">
        <w:t>This unit specifies the skills and knowledge required to erect or install permanent steel structures, dismantle structural steel, and move</w:t>
      </w:r>
      <w:r w:rsidRPr="00606DE1">
        <w:t xml:space="preserve"> or locate plant and equipment using a range of basic rigging and dogging techniques. It includes load distribution.</w:t>
      </w:r>
    </w:p>
    <w:p w:rsidR="00000000" w:rsidRPr="00606DE1" w:rsidP="009B742D">
      <w:pPr>
        <w:pStyle w:val="BodyText"/>
      </w:pPr>
      <w:r w:rsidRPr="00606DE1">
        <w:t xml:space="preserve">It applies to workers who perform rigging duties for erection and installation of steel structures and for moving plant and equipment, and </w:t>
      </w:r>
      <w:r w:rsidRPr="00606DE1">
        <w:t>who would be expected to take responsibility for organising and completing these tasks with a high degree of self direction.</w:t>
      </w:r>
    </w:p>
    <w:p w:rsidR="00000000" w:rsidRPr="00606DE1" w:rsidP="009B742D">
      <w:pPr>
        <w:pStyle w:val="BodyText"/>
      </w:pPr>
      <w:r w:rsidRPr="00606DE1">
        <w:t>Completion of the general construction induction training program, specified in the Safe Work Australia model Code of Practice: Con</w:t>
      </w:r>
      <w:r w:rsidRPr="00606DE1">
        <w:t xml:space="preserve">struction Work, is required by anyone carrying out construction work. Achievement of </w:t>
      </w:r>
      <w:r w:rsidRPr="00606DE1">
        <w:rPr>
          <w:rStyle w:val="Emphasis"/>
        </w:rPr>
        <w:t>CPCWHS1001 Prepare to work safely in the construction industry</w:t>
      </w:r>
      <w:r w:rsidRPr="00606DE1">
        <w:t xml:space="preserve"> meets this requirement.</w:t>
      </w:r>
    </w:p>
    <w:p w:rsidR="00000000" w:rsidRPr="00606DE1" w:rsidP="009B742D">
      <w:pPr>
        <w:pStyle w:val="BodyText"/>
      </w:pPr>
      <w:r w:rsidRPr="00606DE1">
        <w:t xml:space="preserve">Licensing, legislative, regulatory or certification requirements apply to this unit </w:t>
      </w:r>
      <w:r w:rsidRPr="00606DE1">
        <w:t>of competency in some states and territories. For further information, check with the relevant regulatory authority.</w:t>
      </w:r>
    </w:p>
    <w:p w:rsidR="00000000" w:rsidRPr="00606DE1" w:rsidP="00606DE1">
      <w:pPr>
        <w:pStyle w:val="Heading1"/>
      </w:pPr>
      <w:bookmarkStart w:id="3" w:name="O_1292702"/>
      <w:bookmarkEnd w:id="3"/>
      <w:r w:rsidRPr="00606DE1">
        <w:t>Pre-requisite Unit</w:t>
      </w:r>
    </w:p>
    <w:p w:rsidR="00000000" w:rsidRPr="00606DE1" w:rsidP="009B742D">
      <w:pPr>
        <w:pStyle w:val="BodyText"/>
      </w:pPr>
      <w:r w:rsidRPr="00606DE1">
        <w:t>CPCCWHS2001 Apply WHS requirements, policies and procedures in the construction industry</w:t>
      </w:r>
    </w:p>
    <w:p w:rsidR="00000000" w:rsidRPr="00606DE1" w:rsidP="00606DE1">
      <w:pPr>
        <w:pStyle w:val="Heading1"/>
      </w:pPr>
      <w:bookmarkStart w:id="4" w:name="O_1292701"/>
      <w:bookmarkEnd w:id="4"/>
      <w:r w:rsidRPr="00606DE1">
        <w:t>Unit Sector</w:t>
      </w:r>
    </w:p>
    <w:p w:rsidR="00000000" w:rsidRPr="00606DE1" w:rsidP="009B742D">
      <w:pPr>
        <w:pStyle w:val="BodyText"/>
      </w:pPr>
      <w:r w:rsidRPr="00606DE1">
        <w:t>Construction</w:t>
      </w:r>
    </w:p>
    <w:p w:rsidR="00000000" w:rsidRPr="00606DE1" w:rsidP="00606DE1">
      <w:pPr>
        <w:pStyle w:val="Heading1"/>
      </w:pPr>
      <w:bookmarkStart w:id="5" w:name="O_1292700"/>
      <w:bookmarkEnd w:id="5"/>
      <w:r w:rsidRPr="00606D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Performance criteria describe what needs to be done to demonstrate achievement of the element.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Plan and prepare to perform basic rigging.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Interpret work order and associated documentation and clarify requirements with relevant persons.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Plan all work to comply with relevant legislation, regulations, standards, codes, work health and safety, environmental and workplace requirements.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Select plant, tools and equipment required for work tasks, check for serviceability and rectify or re</w:t>
            </w:r>
            <w:r w:rsidRPr="00606DE1">
              <w:t>port identified faults.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Erect required safety signage and barricades and select and fit personal protective equipment (PPE).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Check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Inspect lifting equipment in accordance with manufacturer and workplace requirements.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Label, reject and dispose of any lifting equipment identified as inconsistent with manufacturer requirements, to prevent its use in any circumstance.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Connect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Calculate and confirm load mass and load distribution.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Secure whole or part loads to prevent uncontrolled movement.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Attach slings, or parts of slings, to load, and position them to ensure safe movement and to protect load and associated equipment.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Attach slings, or parts of slings, to hook while hoist wire is vertical.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Attach tag lines to load as specified</w:t>
            </w:r>
            <w:r w:rsidRPr="00606DE1">
              <w:t>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Check load distribution.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Perform test lifts to ensure safe and secure movement of load as specified.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Move and position loads using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Determine load destination and prepare landing area to accept load.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 xml:space="preserve">Assemble lifting or pulling device and erect where </w:t>
            </w:r>
            <w:r w:rsidRPr="00606DE1">
              <w:t>specified.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Move load safely to required destination and secure in position in accordance with work order and workplace requirements.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 xml:space="preserve">Use standard communication signals to coordinate safe </w:t>
            </w:r>
            <w:r w:rsidRPr="00606DE1">
              <w:t>movement of load.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Remove basic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Dismantle lifting/moving equipment and packing, return to resting position and inspect for wear.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Complete logbook and site records in accordance with workplace requirements.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Clear work area and dispose of, reuse or recycle materials in accordance with regulatory and workplace requirements.</w:t>
            </w:r>
          </w:p>
        </w:tc>
      </w:tr>
      <w:tr w:rsidTr="0060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DE1">
            <w:pPr>
              <w:pStyle w:val="BodyText"/>
              <w:rPr>
                <w:lang w:val="en-NZ"/>
              </w:rPr>
            </w:pPr>
            <w:r w:rsidRPr="00606DE1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DE1" w:rsidP="00606DE1">
            <w:pPr>
              <w:pStyle w:val="BodyText"/>
            </w:pPr>
            <w:r w:rsidRPr="00606DE1">
              <w:t>Clean, check, maintain and store tools and equipment in accordance with manufacturer and workplace requirements.</w:t>
            </w:r>
          </w:p>
        </w:tc>
      </w:tr>
    </w:tbl>
    <w:p w:rsidR="00000000" w:rsidRPr="00606DE1" w:rsidP="00606DE1">
      <w:pPr>
        <w:pStyle w:val="BodyText"/>
      </w:pPr>
    </w:p>
    <w:p w:rsidR="00000000" w:rsidRPr="00606DE1" w:rsidP="00606DE1">
      <w:pPr>
        <w:pStyle w:val="AllowPageBreak"/>
      </w:pPr>
    </w:p>
    <w:p w:rsidR="00000000" w:rsidRPr="00606DE1" w:rsidP="00606DE1">
      <w:pPr>
        <w:pStyle w:val="Heading1"/>
      </w:pPr>
      <w:bookmarkStart w:id="6" w:name="O_1292699"/>
      <w:bookmarkEnd w:id="6"/>
      <w:r w:rsidRPr="00606DE1">
        <w:t>Foundation Skills</w:t>
      </w:r>
    </w:p>
    <w:p w:rsidR="00000000" w:rsidRPr="00606DE1" w:rsidP="009B742D">
      <w:pPr>
        <w:pStyle w:val="BodyText"/>
      </w:pPr>
      <w:r w:rsidRPr="00606DE1">
        <w:t xml:space="preserve">Foundation skills essential to performance are explicit in the performance criteria of this unit of competency. </w:t>
      </w:r>
    </w:p>
    <w:p w:rsidR="00000000" w:rsidRPr="00606DE1" w:rsidP="00606DE1">
      <w:pPr>
        <w:pStyle w:val="Heading1"/>
      </w:pPr>
      <w:bookmarkStart w:id="7" w:name="O_1292698"/>
      <w:bookmarkEnd w:id="7"/>
      <w:r w:rsidRPr="00606DE1">
        <w:t>Unit Mapping Information</w:t>
      </w:r>
    </w:p>
    <w:p w:rsidR="00000000" w:rsidRPr="00606DE1" w:rsidP="009B742D">
      <w:pPr>
        <w:pStyle w:val="BodyText"/>
      </w:pPr>
      <w:r w:rsidRPr="00606DE1">
        <w:t>Supersedes and is equivalent to CPCCRI3012A Perform basic riggi</w:t>
      </w:r>
      <w:r w:rsidRPr="00606DE1">
        <w:t>ng.</w:t>
      </w:r>
    </w:p>
    <w:p w:rsidR="00000000" w:rsidRPr="00606DE1" w:rsidP="00606DE1">
      <w:pPr>
        <w:pStyle w:val="Heading1"/>
      </w:pPr>
      <w:bookmarkStart w:id="8" w:name="O_1292705"/>
      <w:bookmarkEnd w:id="8"/>
      <w:r w:rsidRPr="00606DE1">
        <w:t>Links</w:t>
      </w:r>
    </w:p>
    <w:p w:rsidR="00000000" w:rsidRPr="00606DE1" w:rsidP="009B742D">
      <w:pPr>
        <w:pStyle w:val="BodyText"/>
      </w:pPr>
      <w:r w:rsidRPr="00606D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752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6DE1" w:rsidP="00606DE1"/>
    <w:sectPr w:rsidSect="00606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E1" w:rsidRPr="009B742D" w:rsidP="009B7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2D" w:rsidP="00606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42D" w:rsidP="00606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B742D" w:rsidP="00606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DE1" w:rsidRPr="009B742D" w:rsidP="009B7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2D" w:rsidRPr="002D2AF8" w:rsidP="00606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CPCCRI3012 Perform basic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B742D" w:rsidP="00606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DE1"/>
  </w:style>
  <w:style w:type="character" w:customStyle="1" w:styleId="Heading1Char">
    <w:name w:val="Heading 1 Char"/>
    <w:basedOn w:val="DefaultParagraphFont"/>
    <w:link w:val="Heading1"/>
    <w:rsid w:val="00606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DE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06DE1"/>
    <w:rPr>
      <w:i/>
    </w:rPr>
  </w:style>
  <w:style w:type="paragraph" w:customStyle="1" w:styleId="SuperHeading">
    <w:name w:val="SuperHeading"/>
    <w:basedOn w:val="Normal"/>
    <w:rsid w:val="00606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D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D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6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DE1"/>
    <w:rPr>
      <w:b/>
      <w:spacing w:val="0"/>
    </w:rPr>
  </w:style>
  <w:style w:type="paragraph" w:customStyle="1" w:styleId="SuperTitle">
    <w:name w:val="SuperTitle"/>
    <w:basedOn w:val="Title"/>
    <w:rsid w:val="00606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D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DE1"/>
  </w:style>
  <w:style w:type="paragraph" w:styleId="TableofFigures">
    <w:name w:val="table of figures"/>
    <w:basedOn w:val="Normal"/>
    <w:next w:val="Normal"/>
    <w:semiHidden/>
    <w:rsid w:val="00606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D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6DE1"/>
    <w:rPr>
      <w:rFonts w:ascii="Wingdings" w:hAnsi="Wingdings"/>
    </w:rPr>
  </w:style>
  <w:style w:type="paragraph" w:customStyle="1" w:styleId="TableHeading">
    <w:name w:val="Table Heading"/>
    <w:basedOn w:val="HeadingBase"/>
    <w:rsid w:val="00606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DE1"/>
    <w:rPr>
      <w:color w:val="0033CC"/>
      <w:u w:val="none"/>
    </w:rPr>
  </w:style>
  <w:style w:type="paragraph" w:customStyle="1" w:styleId="BodyTextRight">
    <w:name w:val="Body Text Right"/>
    <w:basedOn w:val="BodyText"/>
    <w:rsid w:val="00606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D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DE1"/>
    <w:rPr>
      <w:sz w:val="32"/>
    </w:rPr>
  </w:style>
  <w:style w:type="paragraph" w:customStyle="1" w:styleId="HeadingProcedure">
    <w:name w:val="Heading Procedure"/>
    <w:basedOn w:val="HeadingBase"/>
    <w:next w:val="Normal"/>
    <w:rsid w:val="00606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DE1"/>
    <w:pPr>
      <w:spacing w:before="60" w:after="60"/>
    </w:pPr>
  </w:style>
  <w:style w:type="paragraph" w:styleId="ListContinue">
    <w:name w:val="List Continue"/>
    <w:basedOn w:val="List"/>
    <w:rsid w:val="00606DE1"/>
    <w:pPr>
      <w:ind w:firstLine="0"/>
    </w:pPr>
  </w:style>
  <w:style w:type="paragraph" w:customStyle="1" w:styleId="ListNote">
    <w:name w:val="List Note"/>
    <w:basedOn w:val="List"/>
    <w:rsid w:val="00606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DE1"/>
    <w:rPr>
      <w:rFonts w:ascii="Courier New" w:hAnsi="Courier New"/>
    </w:rPr>
  </w:style>
  <w:style w:type="paragraph" w:customStyle="1" w:styleId="NoteBullet">
    <w:name w:val="Note Bullet"/>
    <w:basedOn w:val="Note"/>
    <w:rsid w:val="00606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D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6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DE1"/>
    <w:rPr>
      <w:b/>
      <w:smallCaps/>
    </w:rPr>
  </w:style>
  <w:style w:type="paragraph" w:customStyle="1" w:styleId="TableListNumber">
    <w:name w:val="Table List Number"/>
    <w:basedOn w:val="ListNumber"/>
    <w:rsid w:val="00606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DE1"/>
    <w:pPr>
      <w:numPr>
        <w:numId w:val="7"/>
      </w:numPr>
    </w:pPr>
  </w:style>
  <w:style w:type="paragraph" w:customStyle="1" w:styleId="ListAlpha2">
    <w:name w:val="List Alpha 2"/>
    <w:basedOn w:val="List2"/>
    <w:rsid w:val="00606DE1"/>
    <w:pPr>
      <w:numPr>
        <w:numId w:val="6"/>
      </w:numPr>
    </w:pPr>
  </w:style>
  <w:style w:type="paragraph" w:styleId="List2">
    <w:name w:val="List 2"/>
    <w:basedOn w:val="BodyText"/>
    <w:rsid w:val="00606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D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D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6DE1"/>
    <w:pPr>
      <w:numPr>
        <w:numId w:val="2"/>
      </w:numPr>
    </w:pPr>
  </w:style>
  <w:style w:type="paragraph" w:styleId="ListContinue2">
    <w:name w:val="List Continue 2"/>
    <w:basedOn w:val="List2"/>
    <w:rsid w:val="00606DE1"/>
    <w:pPr>
      <w:ind w:firstLine="0"/>
    </w:pPr>
  </w:style>
  <w:style w:type="paragraph" w:styleId="ListContinue3">
    <w:name w:val="List Continue 3"/>
    <w:basedOn w:val="List3"/>
    <w:rsid w:val="00606DE1"/>
    <w:pPr>
      <w:ind w:left="1021" w:firstLine="0"/>
    </w:pPr>
  </w:style>
  <w:style w:type="paragraph" w:styleId="ListContinue4">
    <w:name w:val="List Continue 4"/>
    <w:basedOn w:val="List4"/>
    <w:rsid w:val="00606DE1"/>
    <w:pPr>
      <w:ind w:firstLine="0"/>
    </w:pPr>
  </w:style>
  <w:style w:type="paragraph" w:styleId="ListContinue5">
    <w:name w:val="List Continue 5"/>
    <w:basedOn w:val="List5"/>
    <w:rsid w:val="00606DE1"/>
    <w:pPr>
      <w:ind w:firstLine="0"/>
    </w:pPr>
  </w:style>
  <w:style w:type="paragraph" w:styleId="ListNumber3">
    <w:name w:val="List Number 3"/>
    <w:basedOn w:val="List3"/>
    <w:rsid w:val="00606DE1"/>
    <w:pPr>
      <w:numPr>
        <w:numId w:val="3"/>
      </w:numPr>
    </w:pPr>
  </w:style>
  <w:style w:type="paragraph" w:styleId="ListNumber4">
    <w:name w:val="List Number 4"/>
    <w:basedOn w:val="List4"/>
    <w:rsid w:val="00606DE1"/>
    <w:pPr>
      <w:numPr>
        <w:numId w:val="4"/>
      </w:numPr>
    </w:pPr>
  </w:style>
  <w:style w:type="paragraph" w:styleId="ListNumber5">
    <w:name w:val="List Number 5"/>
    <w:basedOn w:val="List5"/>
    <w:rsid w:val="00606DE1"/>
    <w:pPr>
      <w:numPr>
        <w:numId w:val="5"/>
      </w:numPr>
    </w:pPr>
  </w:style>
  <w:style w:type="paragraph" w:styleId="BlockText">
    <w:name w:val="Block Text"/>
    <w:basedOn w:val="Normal"/>
    <w:rsid w:val="00606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DE1"/>
    <w:rPr>
      <w:sz w:val="16"/>
      <w:vertAlign w:val="superscript"/>
    </w:rPr>
  </w:style>
  <w:style w:type="character" w:customStyle="1" w:styleId="Symbols">
    <w:name w:val="Symbols"/>
    <w:basedOn w:val="DefaultParagraphFont"/>
    <w:rsid w:val="00606DE1"/>
    <w:rPr>
      <w:rFonts w:ascii="Symbol" w:hAnsi="Symbol"/>
    </w:rPr>
  </w:style>
  <w:style w:type="character" w:customStyle="1" w:styleId="MenuOptions">
    <w:name w:val="Menu Options"/>
    <w:basedOn w:val="DefaultParagraphFont"/>
    <w:rsid w:val="00606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DE1"/>
    <w:rPr>
      <w:b/>
    </w:rPr>
  </w:style>
  <w:style w:type="character" w:customStyle="1" w:styleId="Underlined">
    <w:name w:val="Underlined"/>
    <w:basedOn w:val="DefaultParagraphFont"/>
    <w:rsid w:val="00606DE1"/>
    <w:rPr>
      <w:u w:val="single"/>
    </w:rPr>
  </w:style>
  <w:style w:type="paragraph" w:customStyle="1" w:styleId="TableBodyTextRight">
    <w:name w:val="Table Body Text Right"/>
    <w:basedOn w:val="TableBodyText"/>
    <w:rsid w:val="00606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DE1"/>
    <w:rPr>
      <w:sz w:val="18"/>
    </w:rPr>
  </w:style>
  <w:style w:type="paragraph" w:customStyle="1" w:styleId="BodySmallRight">
    <w:name w:val="Body Small Right"/>
    <w:basedOn w:val="BodyTextRight"/>
    <w:rsid w:val="00606DE1"/>
    <w:rPr>
      <w:sz w:val="18"/>
      <w:szCs w:val="18"/>
    </w:rPr>
  </w:style>
  <w:style w:type="paragraph" w:customStyle="1" w:styleId="MarginEdition">
    <w:name w:val="Margin Edition"/>
    <w:basedOn w:val="MarginNote"/>
    <w:rsid w:val="00606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DE1"/>
    <w:rPr>
      <w:sz w:val="2"/>
      <w:szCs w:val="2"/>
    </w:rPr>
  </w:style>
  <w:style w:type="character" w:customStyle="1" w:styleId="Small">
    <w:name w:val="Small"/>
    <w:basedOn w:val="DefaultParagraphFont"/>
    <w:rsid w:val="00606DE1"/>
    <w:rPr>
      <w:sz w:val="16"/>
    </w:rPr>
  </w:style>
  <w:style w:type="paragraph" w:customStyle="1" w:styleId="WideTable">
    <w:name w:val="Wide Table"/>
    <w:basedOn w:val="Normal"/>
    <w:rsid w:val="00606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DE1"/>
  </w:style>
  <w:style w:type="paragraph" w:styleId="Quote">
    <w:name w:val="Quote"/>
    <w:basedOn w:val="Heading1"/>
    <w:link w:val="QuoteChar"/>
    <w:qFormat/>
    <w:rsid w:val="00606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DE1"/>
    <w:pPr>
      <w:pageBreakBefore/>
    </w:pPr>
  </w:style>
  <w:style w:type="paragraph" w:customStyle="1" w:styleId="Border">
    <w:name w:val="Border"/>
    <w:basedOn w:val="Normal"/>
    <w:qFormat/>
    <w:rsid w:val="00606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DE1"/>
    <w:rPr>
      <w:u w:val="single"/>
    </w:rPr>
  </w:style>
  <w:style w:type="character" w:customStyle="1" w:styleId="BoldandItalics">
    <w:name w:val="Bold and Italics"/>
    <w:qFormat/>
    <w:rsid w:val="00606DE1"/>
    <w:rPr>
      <w:b/>
      <w:i/>
      <w:u w:val="none"/>
    </w:rPr>
  </w:style>
  <w:style w:type="paragraph" w:styleId="BalloonText">
    <w:name w:val="Balloon Text"/>
    <w:basedOn w:val="Normal"/>
    <w:link w:val="BalloonTextChar"/>
    <w:rsid w:val="00606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DE1"/>
    <w:pPr>
      <w:spacing w:before="0" w:after="0"/>
    </w:pPr>
  </w:style>
  <w:style w:type="paragraph" w:customStyle="1" w:styleId="BodyTextBold">
    <w:name w:val="Body Text Bold"/>
    <w:basedOn w:val="BodyText"/>
    <w:qFormat/>
    <w:rsid w:val="00606DE1"/>
    <w:rPr>
      <w:b/>
    </w:rPr>
  </w:style>
  <w:style w:type="character" w:styleId="Hyperlink">
    <w:name w:val="Hyperlink"/>
    <w:basedOn w:val="DefaultParagraphFont"/>
    <w:uiPriority w:val="99"/>
    <w:unhideWhenUsed/>
    <w:rsid w:val="009B7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3937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CPCCRI3012 Perform basic rigging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