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4BD" w:rsidP="00594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CPCCPD3036 Work safely to encapsulate non-friable asbestos in the painting industry</w:t>
      </w:r>
      <w:r>
        <w:fldChar w:fldCharType="end"/>
      </w:r>
    </w:p>
    <w:p w:rsidR="005944BD" w:rsidP="005944BD">
      <w:pPr>
        <w:pStyle w:val="Version"/>
        <w:sectPr w:rsidSect="009C76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C76E5" w:rsidP="009C76E5">
      <w:pPr>
        <w:pStyle w:val="SuperHeading"/>
      </w:pPr>
      <w:r w:rsidRPr="009C76E5">
        <w:t>CPCCPD3036 Work safely to encapsulate non-friable asbestos in the painting industry</w:t>
      </w:r>
    </w:p>
    <w:p w:rsidR="00000000" w:rsidRPr="009C76E5" w:rsidP="009C76E5">
      <w:pPr>
        <w:pStyle w:val="Heading1"/>
      </w:pPr>
      <w:bookmarkStart w:id="1" w:name="O_1292736"/>
      <w:bookmarkEnd w:id="1"/>
      <w:r w:rsidRPr="009C76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Updated reference to general construction induction training program.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E5" w:rsidP="009C76E5">
            <w:pPr>
              <w:pStyle w:val="BodyText"/>
            </w:pPr>
            <w:r w:rsidRPr="009C76E5">
              <w:t>This version first released with CPC Construction, Plumbing and Services Training Package Release 6.4.</w:t>
            </w:r>
          </w:p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Correction to Training Package title in the Modification History from CPC Property Services to CPC Construction, Plumbing and Services Training Package.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E5" w:rsidP="009C76E5">
            <w:pPr>
              <w:pStyle w:val="BodyText"/>
            </w:pPr>
            <w:r w:rsidRPr="009C76E5">
              <w:t>This version first released with CPC Property Services Training Package Release 5.0.</w:t>
            </w:r>
          </w:p>
          <w:p w:rsidR="00000000" w:rsidRPr="009C76E5" w:rsidP="009C76E5">
            <w:pPr>
              <w:pStyle w:val="BodyText"/>
            </w:pPr>
            <w:r w:rsidRPr="009C76E5">
              <w:t xml:space="preserve">Supersedes and is equivalent to CPCCPD3031A Implement safe lead paint and asbestos work practices in the painting industry.  Safe lead practice aspects removed </w:t>
            </w:r>
            <w:r w:rsidRPr="009C76E5">
              <w:t>and incorporated into separate unit. Safe treatment of asbestos material strengthened.  Updated to meet the Standards for Training Packages 2012.</w:t>
            </w:r>
          </w:p>
        </w:tc>
      </w:tr>
    </w:tbl>
    <w:p w:rsidR="00000000" w:rsidRPr="009C76E5" w:rsidP="009C76E5">
      <w:pPr>
        <w:pStyle w:val="BodyText"/>
      </w:pPr>
    </w:p>
    <w:p w:rsidR="00000000" w:rsidRPr="009C76E5" w:rsidP="009C76E5">
      <w:pPr>
        <w:pStyle w:val="AllowPageBreak"/>
      </w:pPr>
    </w:p>
    <w:p w:rsidR="00000000" w:rsidRPr="009C76E5" w:rsidP="009C76E5">
      <w:pPr>
        <w:pStyle w:val="Heading1"/>
      </w:pPr>
      <w:bookmarkStart w:id="2" w:name="O_1292735"/>
      <w:bookmarkEnd w:id="2"/>
      <w:r w:rsidRPr="009C76E5">
        <w:t>Application</w:t>
      </w:r>
    </w:p>
    <w:p w:rsidR="00000000" w:rsidRPr="009C76E5" w:rsidP="005944BD">
      <w:pPr>
        <w:pStyle w:val="BodyText"/>
      </w:pPr>
      <w:r w:rsidRPr="009C76E5">
        <w:t>This unit of competency specifies the skills and knowledge required to safely</w:t>
      </w:r>
      <w:r w:rsidRPr="009C76E5">
        <w:t xml:space="preserve"> encapsulate non-friable asbestos hazards.  </w:t>
      </w:r>
    </w:p>
    <w:p w:rsidR="00000000" w:rsidRPr="009C76E5" w:rsidP="005944BD">
      <w:pPr>
        <w:pStyle w:val="BodyText"/>
      </w:pPr>
      <w:r w:rsidRPr="009C76E5">
        <w:t>A person who has achieved this unit of competency would be expected to take responsibility for organising and completing these tasks with a high degree of self-direction.</w:t>
      </w:r>
    </w:p>
    <w:p w:rsidR="00000000" w:rsidRPr="009C76E5" w:rsidP="005944BD">
      <w:pPr>
        <w:pStyle w:val="BodyText"/>
      </w:pPr>
      <w:r w:rsidRPr="009C76E5">
        <w:t>Completion of the general construction i</w:t>
      </w:r>
      <w:r w:rsidRPr="009C76E5">
        <w:t xml:space="preserve">nduction training program specified by the model Code of Practice for Construction Work is required for any person who is to carry out construction work.  Achievement of </w:t>
      </w:r>
      <w:r w:rsidRPr="009C76E5">
        <w:rPr>
          <w:rStyle w:val="Emphasis"/>
        </w:rPr>
        <w:t>CPCWHS1001 Prepare to work safely in the construction industry</w:t>
      </w:r>
      <w:r w:rsidRPr="009C76E5">
        <w:t> meets this requirement.</w:t>
      </w:r>
    </w:p>
    <w:p w:rsidR="00000000" w:rsidRPr="009C76E5" w:rsidP="005944BD">
      <w:pPr>
        <w:pStyle w:val="BodyText"/>
      </w:pPr>
      <w:r w:rsidRPr="009C76E5">
        <w:t>Relevant state and territory regulatory authorities should be consulted to confirm requirements to encapsulate non-friable asbestos.</w:t>
      </w:r>
    </w:p>
    <w:p w:rsidR="00000000" w:rsidRPr="009C76E5" w:rsidP="009C76E5">
      <w:pPr>
        <w:pStyle w:val="Heading1"/>
      </w:pPr>
      <w:bookmarkStart w:id="3" w:name="O_1292734"/>
      <w:bookmarkEnd w:id="3"/>
      <w:r w:rsidRPr="009C76E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E5" w:rsidP="009C76E5">
            <w:pPr>
              <w:pStyle w:val="BodyText"/>
            </w:pPr>
            <w:r w:rsidRPr="009C76E5">
              <w:t>Apply WHS requirements, policies and procedures in the construction industry</w:t>
            </w:r>
          </w:p>
        </w:tc>
      </w:tr>
    </w:tbl>
    <w:p w:rsidR="00000000" w:rsidRPr="009C76E5" w:rsidP="009C76E5">
      <w:pPr>
        <w:pStyle w:val="BodyText"/>
      </w:pPr>
    </w:p>
    <w:p w:rsidR="00000000" w:rsidRPr="009C76E5" w:rsidP="009C76E5">
      <w:pPr>
        <w:pStyle w:val="AllowPageBreak"/>
      </w:pPr>
    </w:p>
    <w:p w:rsidR="00000000" w:rsidRPr="009C76E5" w:rsidP="009C76E5">
      <w:pPr>
        <w:pStyle w:val="Heading1"/>
      </w:pPr>
      <w:bookmarkStart w:id="4" w:name="O_1292733"/>
      <w:bookmarkEnd w:id="4"/>
      <w:r w:rsidRPr="009C76E5">
        <w:t>Unit Sector</w:t>
      </w:r>
    </w:p>
    <w:p w:rsidR="00000000" w:rsidRPr="009C76E5" w:rsidP="005944BD">
      <w:pPr>
        <w:pStyle w:val="BodyText"/>
      </w:pPr>
      <w:r w:rsidRPr="009C76E5">
        <w:t>Painting and Decorating</w:t>
      </w:r>
    </w:p>
    <w:p w:rsidR="00000000" w:rsidRPr="009C76E5" w:rsidP="009C76E5">
      <w:pPr>
        <w:pStyle w:val="Heading1"/>
      </w:pPr>
      <w:bookmarkStart w:id="5" w:name="O_1292732"/>
      <w:bookmarkEnd w:id="5"/>
      <w:r w:rsidRPr="009C76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Performance criteria descr</w:t>
            </w:r>
            <w:r w:rsidRPr="009C76E5">
              <w:t>ibe what needs to be done to demonstrate achievement of the element.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Review circumstances in which asbestos hazards may be encountered.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Review work instructions and building information to implement safe asbestos work practices, and to determine the location of asbestos.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Select and fit personal protective equipment (PPE) as required for each task.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Inspect work site, assess h</w:t>
            </w:r>
            <w:r w:rsidRPr="009C76E5">
              <w:t>azards and apply risk controls, including required signage and barricades.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Select tools and equipment, check for serviceability and report any faults.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Define and prepare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Identify sections within the work area where non-friable asbestos might be found.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Establish and maintain a safe working area around substrates that might contain asbestos, and apply temporary control measures, barriers and signage to ensure substrat</w:t>
            </w:r>
            <w:r w:rsidRPr="009C76E5">
              <w:t>es are not disturbed.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Protect furnishings, other surfaces, surrounding ground areas, drinking vessels, water storage and foodstuffs and seal doors and windows.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Arrange for testing to confirm the presence of asbestos.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Encapsulate asbestos.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Assess and select methods, tools and equipment and PPE for the encapsulation of asbestos on existing surfaces in accordance with regulatory requirements.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Assess suitability of work area for asbestos encapsulant coating.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Apply a water based asbestos encapsulant coating to manufacturers’ specifications.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Clean up, meeting all legislative and workplace requirements for safety, waste disposal, materials handling and protection of the environment.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Clear work area, reuse or recycle materials and place waste and unwanted materials into job waste bins or rubbish stockpile.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Check and maintain tools and equipment and clean with appropriate solvents.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 xml:space="preserve">Dispose of paint waste and water and </w:t>
            </w:r>
            <w:r w:rsidRPr="009C76E5">
              <w:t>solvents used in cleaning tools and equipment in an environmentally sustainable manner.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E5" w:rsidP="009C76E5">
            <w:pPr>
              <w:pStyle w:val="BodyText"/>
            </w:pPr>
            <w:r w:rsidRPr="009C76E5">
              <w:t>Store tools, equipment and sealed unused materials to avoid spontaneous ignition.</w:t>
            </w:r>
          </w:p>
        </w:tc>
      </w:tr>
    </w:tbl>
    <w:p w:rsidR="00000000" w:rsidRPr="009C76E5" w:rsidP="009C76E5">
      <w:pPr>
        <w:pStyle w:val="BodyText"/>
      </w:pPr>
    </w:p>
    <w:p w:rsidR="00000000" w:rsidRPr="009C76E5" w:rsidP="009C76E5">
      <w:pPr>
        <w:pStyle w:val="AllowPageBreak"/>
      </w:pPr>
    </w:p>
    <w:p w:rsidR="00000000" w:rsidRPr="009C76E5" w:rsidP="009C76E5">
      <w:pPr>
        <w:pStyle w:val="Heading1"/>
      </w:pPr>
      <w:bookmarkStart w:id="6" w:name="O_1292731"/>
      <w:bookmarkEnd w:id="6"/>
      <w:r w:rsidRPr="009C76E5">
        <w:t>Foundation Skills</w:t>
      </w:r>
    </w:p>
    <w:p w:rsidR="00000000" w:rsidRPr="009C76E5" w:rsidP="005944BD">
      <w:pPr>
        <w:pStyle w:val="BodyText"/>
      </w:pPr>
      <w:r w:rsidRPr="009C76E5">
        <w:t xml:space="preserve">Foundation skills essential to performance are explicit in the performance criteria of this unit of competency. </w:t>
      </w:r>
    </w:p>
    <w:p w:rsidR="00000000" w:rsidRPr="009C76E5" w:rsidP="009C76E5">
      <w:pPr>
        <w:pStyle w:val="Heading1"/>
      </w:pPr>
      <w:bookmarkStart w:id="7" w:name="O_1292730"/>
      <w:bookmarkEnd w:id="7"/>
      <w:r w:rsidRPr="009C76E5">
        <w:t>Unit Mapping Information</w:t>
      </w:r>
    </w:p>
    <w:p w:rsidR="00000000" w:rsidRPr="009C76E5" w:rsidP="005944BD">
      <w:pPr>
        <w:pStyle w:val="BodyText"/>
      </w:pPr>
      <w:r w:rsidRPr="009C76E5">
        <w:t>Supersedes and equivalent to CPCCPD3031A Implement safe lead paint and asbestos work practices in t</w:t>
      </w:r>
      <w:r w:rsidRPr="009C76E5">
        <w:t>he painting industry.</w:t>
      </w:r>
    </w:p>
    <w:p w:rsidR="00000000" w:rsidRPr="009C76E5" w:rsidP="009C76E5">
      <w:pPr>
        <w:pStyle w:val="Heading1"/>
      </w:pPr>
      <w:bookmarkStart w:id="8" w:name="O_1292737"/>
      <w:bookmarkEnd w:id="8"/>
      <w:r w:rsidRPr="009C76E5">
        <w:t>Links</w:t>
      </w:r>
    </w:p>
    <w:p w:rsidR="00000000" w:rsidRPr="009C76E5" w:rsidP="005944BD">
      <w:pPr>
        <w:pStyle w:val="BodyText"/>
      </w:pPr>
      <w:r w:rsidRPr="009C76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B29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76E5" w:rsidP="005944BD">
      <w:pPr>
        <w:pStyle w:val="BodyText"/>
        <w:sectPr w:rsidSect="009C76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76E5" w:rsidP="009C76E5">
      <w:pPr>
        <w:pStyle w:val="SuperHeading"/>
      </w:pPr>
      <w:r w:rsidRPr="009C76E5">
        <w:t>Assessment Requirements for CPCCPD3036 Work safely to encapsulate non-friable asbestos in the painting industry</w:t>
      </w:r>
    </w:p>
    <w:p w:rsidR="00000000" w:rsidRPr="009C76E5" w:rsidP="009C76E5">
      <w:pPr>
        <w:pStyle w:val="Heading1"/>
      </w:pPr>
      <w:bookmarkStart w:id="9" w:name="O_1292728"/>
      <w:bookmarkEnd w:id="9"/>
      <w:r w:rsidRPr="009C76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Updated reference to general construction induction training program.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E5" w:rsidP="009C76E5">
            <w:pPr>
              <w:pStyle w:val="BodyText"/>
            </w:pPr>
            <w:r w:rsidRPr="009C76E5">
              <w:t>This</w:t>
            </w:r>
            <w:r w:rsidRPr="009C76E5">
              <w:t xml:space="preserve"> version first released with CPC Construction, Plumbing and Services Training Package Release 6.4.</w:t>
            </w:r>
          </w:p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Correction to Training Package title in the Modification History from CPC Property Services to CPC Construction, Plumbing and Services Training Package.</w:t>
            </w:r>
          </w:p>
        </w:tc>
      </w:tr>
      <w:tr w:rsidTr="009C76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6E5">
            <w:pPr>
              <w:pStyle w:val="BodyText"/>
              <w:rPr>
                <w:lang w:val="en-NZ"/>
              </w:rPr>
            </w:pPr>
            <w:r w:rsidRPr="009C76E5">
              <w:t>Rel</w:t>
            </w:r>
            <w:r w:rsidRPr="009C76E5">
              <w:t>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6E5" w:rsidP="009C76E5">
            <w:pPr>
              <w:pStyle w:val="BodyText"/>
            </w:pPr>
            <w:r w:rsidRPr="009C76E5">
              <w:t>This version first released with CPC Property Services Training Package Release 5.0.</w:t>
            </w:r>
          </w:p>
          <w:p w:rsidR="00000000" w:rsidRPr="009C76E5" w:rsidP="009C76E5">
            <w:pPr>
              <w:pStyle w:val="BodyText"/>
            </w:pPr>
            <w:r w:rsidRPr="009C76E5">
              <w:t xml:space="preserve">Supersedes and is equivalent to CPCCPD3031A Implement safe lead paint and asbestos work practices in the painting industry.  Safe lead practice aspects removed and </w:t>
            </w:r>
            <w:r w:rsidRPr="009C76E5">
              <w:t>incorporated into separate unit. Safe treatment of asbestos material strengthened.  Updated to meet the Standards for Training Packages 2012.</w:t>
            </w:r>
          </w:p>
        </w:tc>
      </w:tr>
    </w:tbl>
    <w:p w:rsidR="00000000" w:rsidRPr="009C76E5" w:rsidP="009C76E5">
      <w:pPr>
        <w:pStyle w:val="BodyText"/>
      </w:pPr>
    </w:p>
    <w:p w:rsidR="00000000" w:rsidRPr="009C76E5" w:rsidP="009C76E5">
      <w:pPr>
        <w:pStyle w:val="AllowPageBreak"/>
      </w:pPr>
    </w:p>
    <w:p w:rsidR="00000000" w:rsidRPr="009C76E5" w:rsidP="009C76E5">
      <w:pPr>
        <w:pStyle w:val="Heading1"/>
      </w:pPr>
      <w:bookmarkStart w:id="10" w:name="O_1292727"/>
      <w:bookmarkEnd w:id="10"/>
      <w:r w:rsidRPr="009C76E5">
        <w:t>Performance Evidence</w:t>
      </w:r>
    </w:p>
    <w:p w:rsidR="00000000" w:rsidRPr="009C76E5" w:rsidP="005944BD">
      <w:pPr>
        <w:pStyle w:val="BodyText"/>
      </w:pPr>
      <w:r w:rsidRPr="009C76E5">
        <w:t>To demonstrate competency, a candidate must meet the performance criteri</w:t>
      </w:r>
      <w:r w:rsidRPr="009C76E5">
        <w:t>a of this unit by using a paint system to encapsulate at least six square metres of non-friable asbestos.</w:t>
      </w:r>
    </w:p>
    <w:p w:rsidR="00000000" w:rsidRPr="009C76E5" w:rsidP="005944BD">
      <w:pPr>
        <w:pStyle w:val="BodyText"/>
      </w:pPr>
      <w:r w:rsidRPr="009C76E5">
        <w:t xml:space="preserve">All work must be performed to the standard required in the workplace and must meet the requirements of work health and safety (WHS), Commonwealth and </w:t>
      </w:r>
      <w:r w:rsidRPr="009C76E5">
        <w:t>state or territory legislation, manufacturers’ specifications, and environmental plans and obligations.</w:t>
      </w:r>
    </w:p>
    <w:p w:rsidR="00000000" w:rsidRPr="009C76E5" w:rsidP="009C76E5">
      <w:pPr>
        <w:pStyle w:val="Heading1"/>
      </w:pPr>
      <w:bookmarkStart w:id="11" w:name="O_1292726"/>
      <w:bookmarkEnd w:id="11"/>
      <w:r w:rsidRPr="009C76E5">
        <w:t>Knowledge Evidence</w:t>
      </w:r>
    </w:p>
    <w:p w:rsidR="00000000" w:rsidRPr="009C76E5" w:rsidP="005944BD">
      <w:pPr>
        <w:pStyle w:val="BodyText"/>
      </w:pPr>
      <w:r w:rsidRPr="009C76E5">
        <w:t>To be competent in this unit, a candidate must demonstrate knowledge of:</w:t>
      </w:r>
    </w:p>
    <w:p w:rsidR="00000000" w:rsidRPr="009C76E5" w:rsidP="009C76E5">
      <w:pPr>
        <w:pStyle w:val="ListBullet"/>
      </w:pPr>
      <w:r w:rsidRPr="009C76E5">
        <w:t>industry standards’</w:t>
      </w:r>
      <w:r w:rsidRPr="009C76E5">
        <w:t xml:space="preserve"> recommendations for asbestos contamination</w:t>
      </w:r>
    </w:p>
    <w:p w:rsidR="00000000" w:rsidRPr="009C76E5" w:rsidP="009C76E5">
      <w:pPr>
        <w:pStyle w:val="ListBullet"/>
      </w:pPr>
      <w:r w:rsidRPr="009C76E5">
        <w:t>current regulatory requirements and industry standards for encapsulation of asbestos</w:t>
      </w:r>
    </w:p>
    <w:p w:rsidR="00000000" w:rsidRPr="009C76E5" w:rsidP="009C76E5">
      <w:pPr>
        <w:pStyle w:val="ListBullet"/>
      </w:pPr>
      <w:r w:rsidRPr="009C76E5">
        <w:t>responsibilities and limitations when working with asbestos, including when to report the presence of asbestos</w:t>
      </w:r>
    </w:p>
    <w:p w:rsidR="00000000" w:rsidRPr="009C76E5" w:rsidP="009C76E5">
      <w:pPr>
        <w:pStyle w:val="ListBullet"/>
      </w:pPr>
      <w:r w:rsidRPr="009C76E5">
        <w:t>safety requireme</w:t>
      </w:r>
      <w:r w:rsidRPr="009C76E5">
        <w:t>nts relevant to implementing safe asbestos work practices in the painting industry</w:t>
      </w:r>
    </w:p>
    <w:p w:rsidR="00000000" w:rsidRPr="009C76E5" w:rsidP="009C76E5">
      <w:pPr>
        <w:pStyle w:val="ListBullet"/>
      </w:pPr>
      <w:r w:rsidRPr="009C76E5">
        <w:t xml:space="preserve">personal protective equipment (PPE) </w:t>
      </w:r>
    </w:p>
    <w:p w:rsidR="00000000" w:rsidRPr="009C76E5" w:rsidP="009C76E5">
      <w:pPr>
        <w:pStyle w:val="ListBullet"/>
      </w:pPr>
      <w:r w:rsidRPr="009C76E5">
        <w:t>sources and types of asbestos, including:</w:t>
      </w:r>
    </w:p>
    <w:p w:rsidR="00000000" w:rsidRPr="009C76E5" w:rsidP="009C76E5">
      <w:pPr>
        <w:pStyle w:val="ListBullet2"/>
      </w:pPr>
      <w:r w:rsidRPr="009C76E5">
        <w:t>asbestos-containing materials (ACM)</w:t>
      </w:r>
    </w:p>
    <w:p w:rsidR="00000000" w:rsidRPr="009C76E5" w:rsidP="009C76E5">
      <w:pPr>
        <w:pStyle w:val="ListBullet2"/>
      </w:pPr>
      <w:r w:rsidRPr="009C76E5">
        <w:t>loose-fill asbestos</w:t>
      </w:r>
    </w:p>
    <w:p w:rsidR="00000000" w:rsidRPr="009C76E5" w:rsidP="009C76E5">
      <w:pPr>
        <w:pStyle w:val="ListBullet2"/>
      </w:pPr>
      <w:r w:rsidRPr="009C76E5">
        <w:t>naturally-occurring asbestos</w:t>
      </w:r>
    </w:p>
    <w:p w:rsidR="00000000" w:rsidRPr="009C76E5" w:rsidP="009C76E5">
      <w:pPr>
        <w:pStyle w:val="ListBullet2"/>
      </w:pPr>
      <w:r w:rsidRPr="009C76E5">
        <w:t xml:space="preserve">friable </w:t>
      </w:r>
      <w:r w:rsidRPr="009C76E5">
        <w:t>and non-friable asbestos</w:t>
      </w:r>
    </w:p>
    <w:p w:rsidR="00000000" w:rsidRPr="009C76E5" w:rsidP="009C76E5">
      <w:pPr>
        <w:pStyle w:val="ListBullet"/>
      </w:pPr>
      <w:r w:rsidRPr="009C76E5">
        <w:t>identifying the presence of asbestos</w:t>
      </w:r>
    </w:p>
    <w:p w:rsidR="00000000" w:rsidRPr="009C76E5" w:rsidP="009C76E5">
      <w:pPr>
        <w:pStyle w:val="ListBullet"/>
      </w:pPr>
      <w:r w:rsidRPr="009C76E5">
        <w:t>environmental requirements relevant to implementing safe asbestos work practices in the painting industry</w:t>
      </w:r>
    </w:p>
    <w:p w:rsidR="00000000" w:rsidRPr="009C76E5" w:rsidP="009C76E5">
      <w:pPr>
        <w:pStyle w:val="ListBullet"/>
      </w:pPr>
      <w:r w:rsidRPr="009C76E5">
        <w:t>building information on asbestos, including asbestos registers</w:t>
      </w:r>
    </w:p>
    <w:p w:rsidR="00000000" w:rsidRPr="009C76E5" w:rsidP="009C76E5">
      <w:pPr>
        <w:pStyle w:val="ListBullet"/>
      </w:pPr>
      <w:r w:rsidRPr="009C76E5">
        <w:t>products for encapsulating asbestos, their uses and limitations</w:t>
      </w:r>
    </w:p>
    <w:p w:rsidR="00000000" w:rsidRPr="009C76E5" w:rsidP="009C76E5">
      <w:pPr>
        <w:pStyle w:val="ListBullet"/>
      </w:pPr>
      <w:r w:rsidRPr="009C76E5">
        <w:t>encapsulation treatments for asbestos, their uses and limitations</w:t>
      </w:r>
    </w:p>
    <w:p w:rsidR="00000000" w:rsidRPr="009C76E5" w:rsidP="009C76E5">
      <w:pPr>
        <w:pStyle w:val="ListBullet"/>
      </w:pPr>
      <w:r w:rsidRPr="009C76E5">
        <w:t>health risks associated with asbestos</w:t>
      </w:r>
    </w:p>
    <w:p w:rsidR="00000000" w:rsidRPr="009C76E5" w:rsidP="009C76E5">
      <w:pPr>
        <w:pStyle w:val="ListBullet"/>
      </w:pPr>
      <w:r w:rsidRPr="009C76E5">
        <w:t>materials storage and environmentally friendly waste management in the painting industry</w:t>
      </w:r>
    </w:p>
    <w:p w:rsidR="00000000" w:rsidRPr="009C76E5" w:rsidP="009C76E5">
      <w:pPr>
        <w:pStyle w:val="ListBullet"/>
      </w:pPr>
      <w:r w:rsidRPr="009C76E5">
        <w:t>processes for the calculation of material requirements.</w:t>
      </w:r>
    </w:p>
    <w:p w:rsidR="00000000" w:rsidRPr="009C76E5" w:rsidP="009C76E5">
      <w:pPr>
        <w:pStyle w:val="AllowPageBreak"/>
      </w:pPr>
    </w:p>
    <w:p w:rsidR="00000000" w:rsidRPr="009C76E5" w:rsidP="009C76E5">
      <w:pPr>
        <w:pStyle w:val="Heading1"/>
      </w:pPr>
      <w:bookmarkStart w:id="12" w:name="O_1292725"/>
      <w:bookmarkEnd w:id="12"/>
      <w:r w:rsidRPr="009C76E5">
        <w:t>Assessment Conditions</w:t>
      </w:r>
    </w:p>
    <w:p w:rsidR="00000000" w:rsidRPr="009C76E5" w:rsidP="005944BD">
      <w:pPr>
        <w:pStyle w:val="BodyText"/>
      </w:pPr>
      <w:r w:rsidRPr="009C76E5">
        <w:t xml:space="preserve">Assessors must meet the requirements for assessors contained in the Standards for Registered Training Organisations. </w:t>
      </w:r>
    </w:p>
    <w:p w:rsidR="00000000" w:rsidRPr="009C76E5" w:rsidP="005944BD">
      <w:pPr>
        <w:pStyle w:val="BodyText"/>
      </w:pPr>
      <w:r w:rsidRPr="009C76E5">
        <w:t xml:space="preserve">This unit must be assessed: </w:t>
      </w:r>
    </w:p>
    <w:p w:rsidR="00000000" w:rsidRPr="009C76E5" w:rsidP="009C76E5">
      <w:pPr>
        <w:pStyle w:val="ListBullet"/>
      </w:pPr>
      <w:r w:rsidRPr="009C76E5">
        <w:t>in the wor</w:t>
      </w:r>
      <w:r w:rsidRPr="009C76E5">
        <w:t>kplace or a close simulation of the workplace environment, provided that simulated or project-based assessment techniques replicate construction workplace conditions, materials, activities, responsibilities and procedures.</w:t>
      </w:r>
    </w:p>
    <w:p w:rsidR="00000000" w:rsidRPr="009C76E5" w:rsidP="009C76E5">
      <w:pPr>
        <w:pStyle w:val="ListBullet"/>
      </w:pPr>
      <w:r w:rsidRPr="009C76E5">
        <w:t>using realistic tasks or simulate</w:t>
      </w:r>
      <w:r w:rsidRPr="009C76E5">
        <w:t>d tasks, relevant specifications and work instructions, standard work practices, safety requirements and environmental constraints.</w:t>
      </w:r>
    </w:p>
    <w:p w:rsidR="00000000" w:rsidRPr="009C76E5" w:rsidP="009C76E5">
      <w:pPr>
        <w:pStyle w:val="AllowPageBreak"/>
      </w:pPr>
    </w:p>
    <w:p w:rsidR="00000000" w:rsidRPr="009C76E5" w:rsidP="009C76E5">
      <w:pPr>
        <w:pStyle w:val="Heading1"/>
      </w:pPr>
      <w:bookmarkStart w:id="13" w:name="O_1292738"/>
      <w:bookmarkEnd w:id="13"/>
      <w:r w:rsidRPr="009C76E5">
        <w:t>Links</w:t>
      </w:r>
    </w:p>
    <w:p w:rsidR="00000000" w:rsidRPr="009C76E5" w:rsidP="005944BD">
      <w:pPr>
        <w:pStyle w:val="BodyText"/>
      </w:pPr>
      <w:r w:rsidRPr="009C76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B29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76E5" w:rsidP="009C76E5"/>
    <w:sectPr w:rsidSect="009C76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E5" w:rsidRPr="005944BD" w:rsidP="00594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BD" w:rsidP="009C7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4BD" w:rsidP="009C7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44BD" w:rsidP="009C76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E5" w:rsidP="009C7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4BD">
      <w:t>Approved</w:t>
    </w:r>
    <w:r w:rsidR="005944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4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4BD">
      <w:rPr>
        <w:noProof/>
      </w:rPr>
      <w:t>4</w:t>
    </w:r>
    <w:r>
      <w:rPr>
        <w:noProof/>
      </w:rPr>
      <w:fldChar w:fldCharType="end"/>
    </w:r>
  </w:p>
  <w:p w:rsidR="009C76E5" w:rsidP="009C7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4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4BD">
      <w:t>BuildSkills Australia</w:t>
    </w:r>
    <w:r w:rsidR="005944BD">
      <w:fldChar w:fldCharType="end"/>
    </w:r>
  </w:p>
  <w:p w:rsidR="009C76E5" w:rsidP="009C76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6E5" w:rsidRPr="005944BD" w:rsidP="00594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BD" w:rsidRPr="002D2AF8" w:rsidP="009C7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CPCCPD3036 Work safely to encapsulate non-friable asbestos in the painting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44BD" w:rsidP="009C76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E5" w:rsidRPr="002D2AF8" w:rsidP="009C7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4BD">
      <w:t>CPCCPD3036 Work safely to encapsulate non-friable asbestos in the painting industry</w:t>
    </w:r>
    <w:r w:rsidR="005944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4BD">
      <w:rPr>
        <w:noProof/>
      </w:rPr>
      <w:t>2 March 2025</w:t>
    </w:r>
    <w:r>
      <w:fldChar w:fldCharType="end"/>
    </w:r>
  </w:p>
  <w:p w:rsidR="009C76E5" w:rsidP="009C76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06B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40B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04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6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6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6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6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6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6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6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6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6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6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6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6E5"/>
  </w:style>
  <w:style w:type="character" w:customStyle="1" w:styleId="Heading1Char">
    <w:name w:val="Heading 1 Char"/>
    <w:basedOn w:val="DefaultParagraphFont"/>
    <w:link w:val="Heading1"/>
    <w:rsid w:val="009C76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6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6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6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76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76E5"/>
    <w:rPr>
      <w:i/>
    </w:rPr>
  </w:style>
  <w:style w:type="paragraph" w:customStyle="1" w:styleId="SuperHeading">
    <w:name w:val="SuperHeading"/>
    <w:basedOn w:val="Normal"/>
    <w:rsid w:val="009C76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6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6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6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6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6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6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6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6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6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6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6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6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6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6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6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6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6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76E5"/>
    <w:rPr>
      <w:b/>
      <w:spacing w:val="0"/>
    </w:rPr>
  </w:style>
  <w:style w:type="paragraph" w:customStyle="1" w:styleId="SuperTitle">
    <w:name w:val="SuperTitle"/>
    <w:basedOn w:val="Title"/>
    <w:rsid w:val="009C76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6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6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6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6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6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6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6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6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6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6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6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6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6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6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6E5"/>
  </w:style>
  <w:style w:type="paragraph" w:styleId="TableofFigures">
    <w:name w:val="table of figures"/>
    <w:basedOn w:val="Normal"/>
    <w:next w:val="Normal"/>
    <w:semiHidden/>
    <w:rsid w:val="009C76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6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6E5"/>
    <w:rPr>
      <w:rFonts w:ascii="Wingdings" w:hAnsi="Wingdings"/>
    </w:rPr>
  </w:style>
  <w:style w:type="paragraph" w:customStyle="1" w:styleId="TableHeading">
    <w:name w:val="Table Heading"/>
    <w:basedOn w:val="HeadingBase"/>
    <w:rsid w:val="009C76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6E5"/>
    <w:rPr>
      <w:color w:val="0033CC"/>
      <w:u w:val="none"/>
    </w:rPr>
  </w:style>
  <w:style w:type="paragraph" w:customStyle="1" w:styleId="BodyTextRight">
    <w:name w:val="Body Text Right"/>
    <w:basedOn w:val="BodyText"/>
    <w:rsid w:val="009C76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6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6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6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6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6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6E5"/>
    <w:rPr>
      <w:sz w:val="32"/>
    </w:rPr>
  </w:style>
  <w:style w:type="paragraph" w:customStyle="1" w:styleId="HeadingProcedure">
    <w:name w:val="Heading Procedure"/>
    <w:basedOn w:val="HeadingBase"/>
    <w:next w:val="Normal"/>
    <w:rsid w:val="009C76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6E5"/>
    <w:pPr>
      <w:spacing w:before="60" w:after="60"/>
    </w:pPr>
  </w:style>
  <w:style w:type="paragraph" w:styleId="ListContinue">
    <w:name w:val="List Continue"/>
    <w:basedOn w:val="List"/>
    <w:rsid w:val="009C76E5"/>
    <w:pPr>
      <w:ind w:firstLine="0"/>
    </w:pPr>
  </w:style>
  <w:style w:type="paragraph" w:customStyle="1" w:styleId="ListNote">
    <w:name w:val="List Note"/>
    <w:basedOn w:val="List"/>
    <w:rsid w:val="009C76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6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6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6E5"/>
    <w:rPr>
      <w:rFonts w:ascii="Courier New" w:hAnsi="Courier New"/>
    </w:rPr>
  </w:style>
  <w:style w:type="paragraph" w:customStyle="1" w:styleId="NoteBullet">
    <w:name w:val="Note Bullet"/>
    <w:basedOn w:val="Note"/>
    <w:rsid w:val="009C76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6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6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6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6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6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6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6E5"/>
    <w:rPr>
      <w:b/>
      <w:smallCaps/>
    </w:rPr>
  </w:style>
  <w:style w:type="paragraph" w:customStyle="1" w:styleId="TableListNumber">
    <w:name w:val="Table List Number"/>
    <w:basedOn w:val="ListNumber"/>
    <w:rsid w:val="009C76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6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6E5"/>
    <w:pPr>
      <w:numPr>
        <w:numId w:val="9"/>
      </w:numPr>
    </w:pPr>
  </w:style>
  <w:style w:type="paragraph" w:customStyle="1" w:styleId="ListAlpha2">
    <w:name w:val="List Alpha 2"/>
    <w:basedOn w:val="List2"/>
    <w:rsid w:val="009C76E5"/>
    <w:pPr>
      <w:numPr>
        <w:numId w:val="8"/>
      </w:numPr>
    </w:pPr>
  </w:style>
  <w:style w:type="paragraph" w:styleId="List2">
    <w:name w:val="List 2"/>
    <w:basedOn w:val="BodyText"/>
    <w:rsid w:val="009C76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6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6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6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6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6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6E5"/>
    <w:pPr>
      <w:numPr>
        <w:numId w:val="4"/>
      </w:numPr>
    </w:pPr>
  </w:style>
  <w:style w:type="paragraph" w:styleId="ListContinue2">
    <w:name w:val="List Continue 2"/>
    <w:basedOn w:val="List2"/>
    <w:rsid w:val="009C76E5"/>
    <w:pPr>
      <w:ind w:firstLine="0"/>
    </w:pPr>
  </w:style>
  <w:style w:type="paragraph" w:styleId="ListContinue3">
    <w:name w:val="List Continue 3"/>
    <w:basedOn w:val="List3"/>
    <w:rsid w:val="009C76E5"/>
    <w:pPr>
      <w:ind w:left="1021" w:firstLine="0"/>
    </w:pPr>
  </w:style>
  <w:style w:type="paragraph" w:styleId="ListContinue4">
    <w:name w:val="List Continue 4"/>
    <w:basedOn w:val="List4"/>
    <w:rsid w:val="009C76E5"/>
    <w:pPr>
      <w:ind w:firstLine="0"/>
    </w:pPr>
  </w:style>
  <w:style w:type="paragraph" w:styleId="ListContinue5">
    <w:name w:val="List Continue 5"/>
    <w:basedOn w:val="List5"/>
    <w:rsid w:val="009C76E5"/>
    <w:pPr>
      <w:ind w:firstLine="0"/>
    </w:pPr>
  </w:style>
  <w:style w:type="paragraph" w:styleId="ListNumber3">
    <w:name w:val="List Number 3"/>
    <w:basedOn w:val="List3"/>
    <w:rsid w:val="009C76E5"/>
    <w:pPr>
      <w:numPr>
        <w:numId w:val="5"/>
      </w:numPr>
    </w:pPr>
  </w:style>
  <w:style w:type="paragraph" w:styleId="ListNumber4">
    <w:name w:val="List Number 4"/>
    <w:basedOn w:val="List4"/>
    <w:rsid w:val="009C76E5"/>
    <w:pPr>
      <w:numPr>
        <w:numId w:val="6"/>
      </w:numPr>
    </w:pPr>
  </w:style>
  <w:style w:type="paragraph" w:styleId="ListNumber5">
    <w:name w:val="List Number 5"/>
    <w:basedOn w:val="List5"/>
    <w:rsid w:val="009C76E5"/>
    <w:pPr>
      <w:numPr>
        <w:numId w:val="7"/>
      </w:numPr>
    </w:pPr>
  </w:style>
  <w:style w:type="paragraph" w:styleId="BlockText">
    <w:name w:val="Block Text"/>
    <w:basedOn w:val="Normal"/>
    <w:rsid w:val="009C76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6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6E5"/>
    <w:rPr>
      <w:sz w:val="16"/>
      <w:vertAlign w:val="superscript"/>
    </w:rPr>
  </w:style>
  <w:style w:type="character" w:customStyle="1" w:styleId="Symbols">
    <w:name w:val="Symbols"/>
    <w:basedOn w:val="DefaultParagraphFont"/>
    <w:rsid w:val="009C76E5"/>
    <w:rPr>
      <w:rFonts w:ascii="Symbol" w:hAnsi="Symbol"/>
    </w:rPr>
  </w:style>
  <w:style w:type="character" w:customStyle="1" w:styleId="MenuOptions">
    <w:name w:val="Menu Options"/>
    <w:basedOn w:val="DefaultParagraphFont"/>
    <w:rsid w:val="009C76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6E5"/>
    <w:rPr>
      <w:b/>
    </w:rPr>
  </w:style>
  <w:style w:type="character" w:customStyle="1" w:styleId="Underlined">
    <w:name w:val="Underlined"/>
    <w:basedOn w:val="DefaultParagraphFont"/>
    <w:rsid w:val="009C76E5"/>
    <w:rPr>
      <w:u w:val="single"/>
    </w:rPr>
  </w:style>
  <w:style w:type="paragraph" w:customStyle="1" w:styleId="TableBodyTextRight">
    <w:name w:val="Table Body Text Right"/>
    <w:basedOn w:val="TableBodyText"/>
    <w:rsid w:val="009C76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6E5"/>
    <w:rPr>
      <w:sz w:val="18"/>
    </w:rPr>
  </w:style>
  <w:style w:type="paragraph" w:customStyle="1" w:styleId="BodySmallRight">
    <w:name w:val="Body Small Right"/>
    <w:basedOn w:val="BodyTextRight"/>
    <w:rsid w:val="009C76E5"/>
    <w:rPr>
      <w:sz w:val="18"/>
      <w:szCs w:val="18"/>
    </w:rPr>
  </w:style>
  <w:style w:type="paragraph" w:customStyle="1" w:styleId="MarginEdition">
    <w:name w:val="Margin Edition"/>
    <w:basedOn w:val="MarginNote"/>
    <w:rsid w:val="009C76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6E5"/>
    <w:rPr>
      <w:sz w:val="2"/>
      <w:szCs w:val="2"/>
    </w:rPr>
  </w:style>
  <w:style w:type="character" w:customStyle="1" w:styleId="Small">
    <w:name w:val="Small"/>
    <w:basedOn w:val="DefaultParagraphFont"/>
    <w:rsid w:val="009C76E5"/>
    <w:rPr>
      <w:sz w:val="16"/>
    </w:rPr>
  </w:style>
  <w:style w:type="paragraph" w:customStyle="1" w:styleId="WideTable">
    <w:name w:val="Wide Table"/>
    <w:basedOn w:val="Normal"/>
    <w:rsid w:val="009C76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6E5"/>
  </w:style>
  <w:style w:type="paragraph" w:styleId="Quote">
    <w:name w:val="Quote"/>
    <w:basedOn w:val="Heading1"/>
    <w:link w:val="QuoteChar"/>
    <w:qFormat/>
    <w:rsid w:val="009C76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6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6E5"/>
    <w:pPr>
      <w:pageBreakBefore/>
    </w:pPr>
  </w:style>
  <w:style w:type="paragraph" w:customStyle="1" w:styleId="Border">
    <w:name w:val="Border"/>
    <w:basedOn w:val="Normal"/>
    <w:qFormat/>
    <w:rsid w:val="009C76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6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6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6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6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6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6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6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6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6E5"/>
    <w:rPr>
      <w:u w:val="single"/>
    </w:rPr>
  </w:style>
  <w:style w:type="character" w:customStyle="1" w:styleId="BoldandItalics">
    <w:name w:val="Bold and Italics"/>
    <w:qFormat/>
    <w:rsid w:val="009C76E5"/>
    <w:rPr>
      <w:b/>
      <w:i/>
      <w:u w:val="none"/>
    </w:rPr>
  </w:style>
  <w:style w:type="paragraph" w:styleId="BalloonText">
    <w:name w:val="Balloon Text"/>
    <w:basedOn w:val="Normal"/>
    <w:link w:val="BalloonTextChar"/>
    <w:rsid w:val="009C7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6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6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6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6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6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6E5"/>
    <w:pPr>
      <w:spacing w:before="0" w:after="0"/>
    </w:pPr>
  </w:style>
  <w:style w:type="paragraph" w:customStyle="1" w:styleId="BodyTextBold">
    <w:name w:val="Body Text Bold"/>
    <w:basedOn w:val="BodyText"/>
    <w:qFormat/>
    <w:rsid w:val="009C76E5"/>
    <w:rPr>
      <w:b/>
    </w:rPr>
  </w:style>
  <w:style w:type="character" w:styleId="Hyperlink">
    <w:name w:val="Hyperlink"/>
    <w:basedOn w:val="DefaultParagraphFont"/>
    <w:uiPriority w:val="99"/>
    <w:unhideWhenUsed/>
    <w:rsid w:val="00594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7089</Characters>
  <Application>Microsoft Office Word</Application>
  <DocSecurity>0</DocSecurity>
  <Lines>244</Lines>
  <Paragraphs>136</Paragraphs>
  <ScaleCrop>false</ScaleCrop>
  <Company>Author-it Software Corporation Ltd.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CPCCPD3036 Work safely to encapsulate non-friable asbestos in the painting industry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