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207" w:rsidP="00564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CPCCPD3036 Work safely to encapsulate non-friable asbestos in the painting industry</w:t>
      </w:r>
      <w:r>
        <w:fldChar w:fldCharType="end"/>
      </w:r>
    </w:p>
    <w:p w:rsidR="00564207" w:rsidP="00564207">
      <w:pPr>
        <w:pStyle w:val="Version"/>
        <w:sectPr w:rsidSect="00C26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267B7" w:rsidP="00C267B7">
      <w:pPr>
        <w:pStyle w:val="SuperHeading"/>
      </w:pPr>
      <w:r w:rsidRPr="00C267B7">
        <w:t>Assessment Requirements for CPCCPD3036 Work safely to encapsulate non-friable asbestos in the painting industry</w:t>
      </w:r>
    </w:p>
    <w:p w:rsidR="00000000" w:rsidRPr="00C267B7" w:rsidP="00C267B7">
      <w:pPr>
        <w:pStyle w:val="Heading1"/>
      </w:pPr>
      <w:bookmarkStart w:id="1" w:name="O_1292728"/>
      <w:bookmarkEnd w:id="1"/>
      <w:r w:rsidRPr="00C267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2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B7">
            <w:pPr>
              <w:pStyle w:val="BodyText"/>
              <w:rPr>
                <w:lang w:val="en-NZ"/>
              </w:rPr>
            </w:pPr>
            <w:r w:rsidRPr="00C267B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B7">
            <w:pPr>
              <w:pStyle w:val="BodyText"/>
              <w:rPr>
                <w:lang w:val="en-NZ"/>
              </w:rPr>
            </w:pPr>
            <w:r w:rsidRPr="00C267B7">
              <w:t>Updated reference to general construction induction training program.</w:t>
            </w:r>
          </w:p>
        </w:tc>
      </w:tr>
      <w:tr w:rsidTr="00C2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B7">
            <w:pPr>
              <w:pStyle w:val="BodyText"/>
              <w:rPr>
                <w:lang w:val="en-NZ"/>
              </w:rPr>
            </w:pPr>
            <w:r w:rsidRPr="00C267B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B7" w:rsidP="00C267B7">
            <w:pPr>
              <w:pStyle w:val="BodyText"/>
            </w:pPr>
            <w:r w:rsidRPr="00C267B7">
              <w:t>This version first released with CPC Construction, Plumbing and Services Training Package Release 6.4.</w:t>
            </w:r>
          </w:p>
          <w:p w:rsidR="00000000" w:rsidP="00C267B7">
            <w:pPr>
              <w:pStyle w:val="BodyText"/>
              <w:rPr>
                <w:lang w:val="en-NZ"/>
              </w:rPr>
            </w:pPr>
            <w:r w:rsidRPr="00C267B7">
              <w:t>Correction to Training Package title in the Modification History from CPC Property Services to CPC Construction, Plumbing and Services Training Package.</w:t>
            </w:r>
          </w:p>
        </w:tc>
      </w:tr>
      <w:tr w:rsidTr="00C2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7B7">
            <w:pPr>
              <w:pStyle w:val="BodyText"/>
              <w:rPr>
                <w:lang w:val="en-NZ"/>
              </w:rPr>
            </w:pPr>
            <w:r w:rsidRPr="00C267B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7B7" w:rsidP="00C267B7">
            <w:pPr>
              <w:pStyle w:val="BodyText"/>
            </w:pPr>
            <w:r w:rsidRPr="00C267B7">
              <w:t>This version first released with CPC Property Services Training Package Release 5.0.</w:t>
            </w:r>
          </w:p>
          <w:p w:rsidR="00000000" w:rsidRPr="00C267B7" w:rsidP="00C267B7">
            <w:pPr>
              <w:pStyle w:val="BodyText"/>
            </w:pPr>
            <w:r w:rsidRPr="00C267B7">
              <w:t xml:space="preserve">Supersedes and is equivalent to CPCCPD3031A Implement safe lead paint and asbestos work practices in the painting industry.  Safe lead practice aspects removed </w:t>
            </w:r>
            <w:r w:rsidRPr="00C267B7">
              <w:t>and incorporated into separate unit. Safe treatment of asbestos material strengthened.  Updated to meet the Standards for Training Packages 2012.</w:t>
            </w:r>
          </w:p>
        </w:tc>
      </w:tr>
    </w:tbl>
    <w:p w:rsidR="00000000" w:rsidRPr="00C267B7" w:rsidP="00C267B7">
      <w:pPr>
        <w:pStyle w:val="BodyText"/>
      </w:pPr>
    </w:p>
    <w:p w:rsidR="00000000" w:rsidRPr="00C267B7" w:rsidP="00C267B7">
      <w:pPr>
        <w:pStyle w:val="AllowPageBreak"/>
      </w:pPr>
    </w:p>
    <w:p w:rsidR="00000000" w:rsidRPr="00C267B7" w:rsidP="00C267B7">
      <w:pPr>
        <w:pStyle w:val="Heading1"/>
      </w:pPr>
      <w:bookmarkStart w:id="2" w:name="O_1292727"/>
      <w:bookmarkEnd w:id="2"/>
      <w:r w:rsidRPr="00C267B7">
        <w:t>Performance Evidence</w:t>
      </w:r>
    </w:p>
    <w:p w:rsidR="00000000" w:rsidRPr="00C267B7" w:rsidP="00564207">
      <w:pPr>
        <w:pStyle w:val="BodyText"/>
      </w:pPr>
      <w:r w:rsidRPr="00C267B7">
        <w:t>To demonstrate competency, a candidate must meet the performance cri</w:t>
      </w:r>
      <w:r w:rsidRPr="00C267B7">
        <w:t>teria of this unit by using a paint system to encapsulate at least six square metres of non-friable asbestos.</w:t>
      </w:r>
    </w:p>
    <w:p w:rsidR="00000000" w:rsidRPr="00C267B7" w:rsidP="00564207">
      <w:pPr>
        <w:pStyle w:val="BodyText"/>
      </w:pPr>
      <w:r w:rsidRPr="00C267B7">
        <w:t xml:space="preserve">All work must be performed to the standard required in the workplace and must meet the requirements of work health and safety (WHS), Commonwealth </w:t>
      </w:r>
      <w:r w:rsidRPr="00C267B7">
        <w:t>and state or territory legislation, manufacturers’ specifications, and environmental plans and obligations.</w:t>
      </w:r>
    </w:p>
    <w:p w:rsidR="00000000" w:rsidRPr="00C267B7" w:rsidP="00C267B7">
      <w:pPr>
        <w:pStyle w:val="Heading1"/>
      </w:pPr>
      <w:bookmarkStart w:id="3" w:name="O_1292726"/>
      <w:bookmarkEnd w:id="3"/>
      <w:r w:rsidRPr="00C267B7">
        <w:t>Knowledge Evidence</w:t>
      </w:r>
    </w:p>
    <w:p w:rsidR="00000000" w:rsidRPr="00C267B7" w:rsidP="00564207">
      <w:pPr>
        <w:pStyle w:val="BodyText"/>
      </w:pPr>
      <w:r w:rsidRPr="00C267B7">
        <w:t>To be competent in this unit, a candidate must demonstrate knowledge of:</w:t>
      </w:r>
    </w:p>
    <w:p w:rsidR="00000000" w:rsidRPr="00C267B7" w:rsidP="00C267B7">
      <w:pPr>
        <w:pStyle w:val="ListBullet"/>
      </w:pPr>
      <w:r w:rsidRPr="00C267B7">
        <w:t>industry standards’</w:t>
      </w:r>
      <w:r w:rsidRPr="00C267B7">
        <w:t xml:space="preserve"> recommendations for asbestos contamination</w:t>
      </w:r>
    </w:p>
    <w:p w:rsidR="00000000" w:rsidRPr="00C267B7" w:rsidP="00C267B7">
      <w:pPr>
        <w:pStyle w:val="ListBullet"/>
      </w:pPr>
      <w:r w:rsidRPr="00C267B7">
        <w:t>current regulatory requirements and industry standards for encapsulation of asbestos</w:t>
      </w:r>
    </w:p>
    <w:p w:rsidR="00000000" w:rsidRPr="00C267B7" w:rsidP="00C267B7">
      <w:pPr>
        <w:pStyle w:val="ListBullet"/>
      </w:pPr>
      <w:r w:rsidRPr="00C267B7">
        <w:t>responsibilities and limitations when working with asbestos, including when to report the presence of asbestos</w:t>
      </w:r>
    </w:p>
    <w:p w:rsidR="00000000" w:rsidRPr="00C267B7" w:rsidP="00C267B7">
      <w:pPr>
        <w:pStyle w:val="ListBullet"/>
      </w:pPr>
      <w:r w:rsidRPr="00C267B7">
        <w:t>safety requireme</w:t>
      </w:r>
      <w:r w:rsidRPr="00C267B7">
        <w:t>nts relevant to implementing safe asbestos work practices in the painting industry</w:t>
      </w:r>
    </w:p>
    <w:p w:rsidR="00000000" w:rsidRPr="00C267B7" w:rsidP="00C267B7">
      <w:pPr>
        <w:pStyle w:val="ListBullet"/>
      </w:pPr>
      <w:r w:rsidRPr="00C267B7">
        <w:t xml:space="preserve">personal protective equipment (PPE) </w:t>
      </w:r>
    </w:p>
    <w:p w:rsidR="00000000" w:rsidRPr="00C267B7" w:rsidP="00C267B7">
      <w:pPr>
        <w:pStyle w:val="ListBullet"/>
      </w:pPr>
      <w:r w:rsidRPr="00C267B7">
        <w:t>sources and types of asbestos, including:</w:t>
      </w:r>
    </w:p>
    <w:p w:rsidR="00000000" w:rsidRPr="00C267B7" w:rsidP="00C267B7">
      <w:pPr>
        <w:pStyle w:val="ListBullet2"/>
      </w:pPr>
      <w:r w:rsidRPr="00C267B7">
        <w:t>asbestos-containing materials (ACM)</w:t>
      </w:r>
    </w:p>
    <w:p w:rsidR="00000000" w:rsidRPr="00C267B7" w:rsidP="00C267B7">
      <w:pPr>
        <w:pStyle w:val="ListBullet2"/>
      </w:pPr>
      <w:r w:rsidRPr="00C267B7">
        <w:t>loose-fill asbestos</w:t>
      </w:r>
    </w:p>
    <w:p w:rsidR="00000000" w:rsidRPr="00C267B7" w:rsidP="00C267B7">
      <w:pPr>
        <w:pStyle w:val="ListBullet2"/>
      </w:pPr>
      <w:r w:rsidRPr="00C267B7">
        <w:t>naturally-occurring asbestos</w:t>
      </w:r>
    </w:p>
    <w:p w:rsidR="00000000" w:rsidRPr="00C267B7" w:rsidP="00C267B7">
      <w:pPr>
        <w:pStyle w:val="ListBullet2"/>
      </w:pPr>
      <w:r w:rsidRPr="00C267B7">
        <w:t xml:space="preserve">friable </w:t>
      </w:r>
      <w:r w:rsidRPr="00C267B7">
        <w:t>and non-friable asbestos</w:t>
      </w:r>
    </w:p>
    <w:p w:rsidR="00000000" w:rsidRPr="00C267B7" w:rsidP="00C267B7">
      <w:pPr>
        <w:pStyle w:val="ListBullet"/>
      </w:pPr>
      <w:r w:rsidRPr="00C267B7">
        <w:t>identifying the presence of asbestos</w:t>
      </w:r>
    </w:p>
    <w:p w:rsidR="00000000" w:rsidRPr="00C267B7" w:rsidP="00C267B7">
      <w:pPr>
        <w:pStyle w:val="ListBullet"/>
      </w:pPr>
      <w:r w:rsidRPr="00C267B7">
        <w:t>environmental requirements relevant to implementing safe asbestos work practices in the painting industry</w:t>
      </w:r>
    </w:p>
    <w:p w:rsidR="00000000" w:rsidRPr="00C267B7" w:rsidP="00C267B7">
      <w:pPr>
        <w:pStyle w:val="ListBullet"/>
      </w:pPr>
      <w:r w:rsidRPr="00C267B7">
        <w:t>building information on asbestos, including asbestos registers</w:t>
      </w:r>
    </w:p>
    <w:p w:rsidR="00000000" w:rsidRPr="00C267B7" w:rsidP="00C267B7">
      <w:pPr>
        <w:pStyle w:val="ListBullet"/>
      </w:pPr>
      <w:r w:rsidRPr="00C267B7">
        <w:t>products for encapsulating asbestos, their uses and limitations</w:t>
      </w:r>
    </w:p>
    <w:p w:rsidR="00000000" w:rsidRPr="00C267B7" w:rsidP="00C267B7">
      <w:pPr>
        <w:pStyle w:val="ListBullet"/>
      </w:pPr>
      <w:r w:rsidRPr="00C267B7">
        <w:t>encapsulation treatments for asbestos, their uses and limitations</w:t>
      </w:r>
    </w:p>
    <w:p w:rsidR="00000000" w:rsidRPr="00C267B7" w:rsidP="00C267B7">
      <w:pPr>
        <w:pStyle w:val="ListBullet"/>
      </w:pPr>
      <w:r w:rsidRPr="00C267B7">
        <w:t>health risks associated with asbestos</w:t>
      </w:r>
    </w:p>
    <w:p w:rsidR="00000000" w:rsidRPr="00C267B7" w:rsidP="00C267B7">
      <w:pPr>
        <w:pStyle w:val="ListBullet"/>
      </w:pPr>
      <w:r w:rsidRPr="00C267B7">
        <w:t>materials storage and environmentally friendly waste management in the painting industry</w:t>
      </w:r>
    </w:p>
    <w:p w:rsidR="00000000" w:rsidRPr="00C267B7" w:rsidP="00C267B7">
      <w:pPr>
        <w:pStyle w:val="ListBullet"/>
      </w:pPr>
      <w:r w:rsidRPr="00C267B7">
        <w:t>processes for the calculation of material requirements.</w:t>
      </w:r>
    </w:p>
    <w:p w:rsidR="00000000" w:rsidRPr="00C267B7" w:rsidP="00C267B7">
      <w:pPr>
        <w:pStyle w:val="AllowPageBreak"/>
      </w:pPr>
    </w:p>
    <w:p w:rsidR="00000000" w:rsidRPr="00C267B7" w:rsidP="00C267B7">
      <w:pPr>
        <w:pStyle w:val="Heading1"/>
      </w:pPr>
      <w:bookmarkStart w:id="4" w:name="O_1292725"/>
      <w:bookmarkEnd w:id="4"/>
      <w:r w:rsidRPr="00C267B7">
        <w:t>Assessment Conditions</w:t>
      </w:r>
    </w:p>
    <w:p w:rsidR="00000000" w:rsidRPr="00C267B7" w:rsidP="00564207">
      <w:pPr>
        <w:pStyle w:val="BodyText"/>
      </w:pPr>
      <w:r w:rsidRPr="00C267B7">
        <w:t xml:space="preserve">Assessors must meet the requirements for assessors contained in the Standards for Registered Training Organisations. </w:t>
      </w:r>
    </w:p>
    <w:p w:rsidR="00000000" w:rsidRPr="00C267B7" w:rsidP="00564207">
      <w:pPr>
        <w:pStyle w:val="BodyText"/>
      </w:pPr>
      <w:r w:rsidRPr="00C267B7">
        <w:t xml:space="preserve">This unit must be assessed: </w:t>
      </w:r>
    </w:p>
    <w:p w:rsidR="00000000" w:rsidRPr="00C267B7" w:rsidP="00C267B7">
      <w:pPr>
        <w:pStyle w:val="ListBullet"/>
      </w:pPr>
      <w:r w:rsidRPr="00C267B7">
        <w:t>in the wor</w:t>
      </w:r>
      <w:r w:rsidRPr="00C267B7">
        <w:t>kplace or a close simulation of the workplace environment, provided that simulated or project-based assessment techniques replicate construction workplace conditions, materials, activities, responsibilities and procedures.</w:t>
      </w:r>
    </w:p>
    <w:p w:rsidR="00000000" w:rsidRPr="00C267B7" w:rsidP="00C267B7">
      <w:pPr>
        <w:pStyle w:val="ListBullet"/>
      </w:pPr>
      <w:r w:rsidRPr="00C267B7">
        <w:t>using realistic tasks or simulate</w:t>
      </w:r>
      <w:r w:rsidRPr="00C267B7">
        <w:t>d tasks, relevant specifications and work instructions, standard work practices, safety requirements and environmental constraints.</w:t>
      </w:r>
    </w:p>
    <w:p w:rsidR="00000000" w:rsidRPr="00C267B7" w:rsidP="00C267B7">
      <w:pPr>
        <w:pStyle w:val="AllowPageBreak"/>
      </w:pPr>
    </w:p>
    <w:p w:rsidR="00000000" w:rsidRPr="00C267B7" w:rsidP="00C267B7">
      <w:pPr>
        <w:pStyle w:val="Heading1"/>
      </w:pPr>
      <w:bookmarkStart w:id="5" w:name="O_1292738"/>
      <w:bookmarkEnd w:id="5"/>
      <w:r w:rsidRPr="00C267B7">
        <w:t>Links</w:t>
      </w:r>
    </w:p>
    <w:p w:rsidR="00000000" w:rsidRPr="00C267B7" w:rsidP="00564207">
      <w:pPr>
        <w:pStyle w:val="BodyText"/>
      </w:pPr>
      <w:r w:rsidRPr="00C267B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11B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267B7" w:rsidP="00C267B7"/>
    <w:sectPr w:rsidSect="00C267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7B7" w:rsidRPr="00564207" w:rsidP="00564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207" w:rsidP="00C26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4207" w:rsidP="00C26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64207" w:rsidP="00C26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2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7B7" w:rsidRPr="00564207" w:rsidP="005642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207" w:rsidRPr="002D2AF8" w:rsidP="00C26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CPCCPD3036 Work safely to encapsulate non-friable asbestos in the painting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64207" w:rsidP="00C26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E03B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028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5C1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7B7"/>
  </w:style>
  <w:style w:type="character" w:customStyle="1" w:styleId="Heading1Char">
    <w:name w:val="Heading 1 Char"/>
    <w:basedOn w:val="DefaultParagraphFont"/>
    <w:link w:val="Heading1"/>
    <w:rsid w:val="00C26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7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67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6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67B7"/>
    <w:rPr>
      <w:b/>
      <w:spacing w:val="0"/>
    </w:rPr>
  </w:style>
  <w:style w:type="paragraph" w:customStyle="1" w:styleId="SuperTitle">
    <w:name w:val="SuperTitle"/>
    <w:basedOn w:val="Title"/>
    <w:rsid w:val="00C26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7B7"/>
    <w:rPr>
      <w:i/>
    </w:rPr>
  </w:style>
  <w:style w:type="paragraph" w:styleId="Caption">
    <w:name w:val="caption"/>
    <w:basedOn w:val="BodyText"/>
    <w:next w:val="Normal"/>
    <w:qFormat/>
    <w:rsid w:val="00C26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7B7"/>
  </w:style>
  <w:style w:type="paragraph" w:styleId="TableofFigures">
    <w:name w:val="table of figures"/>
    <w:basedOn w:val="Normal"/>
    <w:next w:val="Normal"/>
    <w:semiHidden/>
    <w:rsid w:val="00C26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7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67B7"/>
    <w:rPr>
      <w:rFonts w:ascii="Wingdings" w:hAnsi="Wingdings"/>
    </w:rPr>
  </w:style>
  <w:style w:type="paragraph" w:customStyle="1" w:styleId="TableHeading">
    <w:name w:val="Table Heading"/>
    <w:basedOn w:val="HeadingBase"/>
    <w:rsid w:val="00C26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7B7"/>
    <w:rPr>
      <w:color w:val="0033CC"/>
      <w:u w:val="none"/>
    </w:rPr>
  </w:style>
  <w:style w:type="paragraph" w:customStyle="1" w:styleId="BodyTextRight">
    <w:name w:val="Body Text Right"/>
    <w:basedOn w:val="BodyText"/>
    <w:rsid w:val="00C26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7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7B7"/>
    <w:rPr>
      <w:sz w:val="32"/>
    </w:rPr>
  </w:style>
  <w:style w:type="paragraph" w:customStyle="1" w:styleId="HeadingProcedure">
    <w:name w:val="Heading Procedure"/>
    <w:basedOn w:val="HeadingBase"/>
    <w:next w:val="Normal"/>
    <w:rsid w:val="00C26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7B7"/>
    <w:pPr>
      <w:spacing w:before="60" w:after="60"/>
    </w:pPr>
  </w:style>
  <w:style w:type="paragraph" w:styleId="ListContinue">
    <w:name w:val="List Continue"/>
    <w:basedOn w:val="List"/>
    <w:rsid w:val="00C267B7"/>
    <w:pPr>
      <w:ind w:firstLine="0"/>
    </w:pPr>
  </w:style>
  <w:style w:type="paragraph" w:customStyle="1" w:styleId="ListNote">
    <w:name w:val="List Note"/>
    <w:basedOn w:val="List"/>
    <w:rsid w:val="00C26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7B7"/>
    <w:rPr>
      <w:rFonts w:ascii="Courier New" w:hAnsi="Courier New"/>
    </w:rPr>
  </w:style>
  <w:style w:type="paragraph" w:customStyle="1" w:styleId="NoteBullet">
    <w:name w:val="Note Bullet"/>
    <w:basedOn w:val="Note"/>
    <w:rsid w:val="00C26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7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6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7B7"/>
    <w:rPr>
      <w:b/>
      <w:smallCaps/>
    </w:rPr>
  </w:style>
  <w:style w:type="paragraph" w:customStyle="1" w:styleId="TableListNumber">
    <w:name w:val="Table List Number"/>
    <w:basedOn w:val="ListNumber"/>
    <w:rsid w:val="00C26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7B7"/>
    <w:pPr>
      <w:numPr>
        <w:numId w:val="9"/>
      </w:numPr>
    </w:pPr>
  </w:style>
  <w:style w:type="paragraph" w:customStyle="1" w:styleId="ListAlpha2">
    <w:name w:val="List Alpha 2"/>
    <w:basedOn w:val="List2"/>
    <w:rsid w:val="00C267B7"/>
    <w:pPr>
      <w:numPr>
        <w:numId w:val="8"/>
      </w:numPr>
    </w:pPr>
  </w:style>
  <w:style w:type="paragraph" w:styleId="List2">
    <w:name w:val="List 2"/>
    <w:basedOn w:val="BodyText"/>
    <w:rsid w:val="00C26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7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7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67B7"/>
    <w:pPr>
      <w:numPr>
        <w:numId w:val="4"/>
      </w:numPr>
    </w:pPr>
  </w:style>
  <w:style w:type="paragraph" w:styleId="ListContinue2">
    <w:name w:val="List Continue 2"/>
    <w:basedOn w:val="List2"/>
    <w:rsid w:val="00C267B7"/>
    <w:pPr>
      <w:ind w:firstLine="0"/>
    </w:pPr>
  </w:style>
  <w:style w:type="paragraph" w:styleId="ListContinue3">
    <w:name w:val="List Continue 3"/>
    <w:basedOn w:val="List3"/>
    <w:rsid w:val="00C267B7"/>
    <w:pPr>
      <w:ind w:left="1021" w:firstLine="0"/>
    </w:pPr>
  </w:style>
  <w:style w:type="paragraph" w:styleId="ListContinue4">
    <w:name w:val="List Continue 4"/>
    <w:basedOn w:val="List4"/>
    <w:rsid w:val="00C267B7"/>
    <w:pPr>
      <w:ind w:firstLine="0"/>
    </w:pPr>
  </w:style>
  <w:style w:type="paragraph" w:styleId="ListContinue5">
    <w:name w:val="List Continue 5"/>
    <w:basedOn w:val="List5"/>
    <w:rsid w:val="00C267B7"/>
    <w:pPr>
      <w:ind w:firstLine="0"/>
    </w:pPr>
  </w:style>
  <w:style w:type="paragraph" w:styleId="ListNumber3">
    <w:name w:val="List Number 3"/>
    <w:basedOn w:val="List3"/>
    <w:rsid w:val="00C267B7"/>
    <w:pPr>
      <w:numPr>
        <w:numId w:val="5"/>
      </w:numPr>
    </w:pPr>
  </w:style>
  <w:style w:type="paragraph" w:styleId="ListNumber4">
    <w:name w:val="List Number 4"/>
    <w:basedOn w:val="List4"/>
    <w:rsid w:val="00C267B7"/>
    <w:pPr>
      <w:numPr>
        <w:numId w:val="6"/>
      </w:numPr>
    </w:pPr>
  </w:style>
  <w:style w:type="paragraph" w:styleId="ListNumber5">
    <w:name w:val="List Number 5"/>
    <w:basedOn w:val="List5"/>
    <w:rsid w:val="00C267B7"/>
    <w:pPr>
      <w:numPr>
        <w:numId w:val="7"/>
      </w:numPr>
    </w:pPr>
  </w:style>
  <w:style w:type="paragraph" w:styleId="BlockText">
    <w:name w:val="Block Text"/>
    <w:basedOn w:val="Normal"/>
    <w:rsid w:val="00C26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7B7"/>
    <w:rPr>
      <w:sz w:val="16"/>
      <w:vertAlign w:val="superscript"/>
    </w:rPr>
  </w:style>
  <w:style w:type="character" w:customStyle="1" w:styleId="Symbols">
    <w:name w:val="Symbols"/>
    <w:basedOn w:val="DefaultParagraphFont"/>
    <w:rsid w:val="00C267B7"/>
    <w:rPr>
      <w:rFonts w:ascii="Symbol" w:hAnsi="Symbol"/>
    </w:rPr>
  </w:style>
  <w:style w:type="character" w:customStyle="1" w:styleId="MenuOptions">
    <w:name w:val="Menu Options"/>
    <w:basedOn w:val="DefaultParagraphFont"/>
    <w:rsid w:val="00C26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7B7"/>
    <w:rPr>
      <w:b/>
    </w:rPr>
  </w:style>
  <w:style w:type="character" w:customStyle="1" w:styleId="Underlined">
    <w:name w:val="Underlined"/>
    <w:basedOn w:val="DefaultParagraphFont"/>
    <w:rsid w:val="00C267B7"/>
    <w:rPr>
      <w:u w:val="single"/>
    </w:rPr>
  </w:style>
  <w:style w:type="paragraph" w:customStyle="1" w:styleId="TableBodyTextRight">
    <w:name w:val="Table Body Text Right"/>
    <w:basedOn w:val="TableBodyText"/>
    <w:rsid w:val="00C26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7B7"/>
    <w:rPr>
      <w:sz w:val="18"/>
    </w:rPr>
  </w:style>
  <w:style w:type="paragraph" w:customStyle="1" w:styleId="BodySmallRight">
    <w:name w:val="Body Small Right"/>
    <w:basedOn w:val="BodyTextRight"/>
    <w:rsid w:val="00C267B7"/>
    <w:rPr>
      <w:sz w:val="18"/>
      <w:szCs w:val="18"/>
    </w:rPr>
  </w:style>
  <w:style w:type="paragraph" w:customStyle="1" w:styleId="MarginEdition">
    <w:name w:val="Margin Edition"/>
    <w:basedOn w:val="MarginNote"/>
    <w:rsid w:val="00C26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7B7"/>
    <w:rPr>
      <w:sz w:val="2"/>
      <w:szCs w:val="2"/>
    </w:rPr>
  </w:style>
  <w:style w:type="character" w:customStyle="1" w:styleId="Small">
    <w:name w:val="Small"/>
    <w:basedOn w:val="DefaultParagraphFont"/>
    <w:rsid w:val="00C267B7"/>
    <w:rPr>
      <w:sz w:val="16"/>
    </w:rPr>
  </w:style>
  <w:style w:type="paragraph" w:customStyle="1" w:styleId="WideTable">
    <w:name w:val="Wide Table"/>
    <w:basedOn w:val="Normal"/>
    <w:rsid w:val="00C26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7B7"/>
  </w:style>
  <w:style w:type="paragraph" w:styleId="Quote">
    <w:name w:val="Quote"/>
    <w:basedOn w:val="Heading1"/>
    <w:link w:val="QuoteChar"/>
    <w:qFormat/>
    <w:rsid w:val="00C26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7B7"/>
    <w:pPr>
      <w:pageBreakBefore/>
    </w:pPr>
  </w:style>
  <w:style w:type="paragraph" w:customStyle="1" w:styleId="Border">
    <w:name w:val="Border"/>
    <w:basedOn w:val="Normal"/>
    <w:qFormat/>
    <w:rsid w:val="00C26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7B7"/>
    <w:rPr>
      <w:u w:val="single"/>
    </w:rPr>
  </w:style>
  <w:style w:type="character" w:customStyle="1" w:styleId="BoldandItalics">
    <w:name w:val="Bold and Italics"/>
    <w:qFormat/>
    <w:rsid w:val="00C267B7"/>
    <w:rPr>
      <w:b/>
      <w:i/>
      <w:u w:val="none"/>
    </w:rPr>
  </w:style>
  <w:style w:type="paragraph" w:styleId="BalloonText">
    <w:name w:val="Balloon Text"/>
    <w:basedOn w:val="Normal"/>
    <w:link w:val="BalloonTextChar"/>
    <w:rsid w:val="00C26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7B7"/>
    <w:pPr>
      <w:spacing w:before="0" w:after="0"/>
    </w:pPr>
  </w:style>
  <w:style w:type="paragraph" w:customStyle="1" w:styleId="BodyTextBold">
    <w:name w:val="Body Text Bold"/>
    <w:basedOn w:val="BodyText"/>
    <w:qFormat/>
    <w:rsid w:val="00C267B7"/>
    <w:rPr>
      <w:b/>
    </w:rPr>
  </w:style>
  <w:style w:type="character" w:styleId="Hyperlink">
    <w:name w:val="Hyperlink"/>
    <w:basedOn w:val="DefaultParagraphFont"/>
    <w:uiPriority w:val="99"/>
    <w:unhideWhenUsed/>
    <w:rsid w:val="005642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3090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CPCCPD3036 Work safely to encapsulate non-friable asbestos in the painting industry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